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367"/>
        <w:gridCol w:w="2754"/>
      </w:tblGrid>
      <w:tr w:rsidR="00D0338B" w14:paraId="5F9498EE" w14:textId="77777777">
        <w:trPr>
          <w:cantSplit/>
          <w:trHeight w:hRule="exact" w:val="285"/>
          <w:jc w:val="center"/>
        </w:trPr>
        <w:tc>
          <w:tcPr>
            <w:tcW w:w="9615" w:type="dxa"/>
            <w:gridSpan w:val="3"/>
            <w:tcBorders>
              <w:top w:val="nil"/>
              <w:left w:val="nil"/>
              <w:bottom w:val="nil"/>
              <w:right w:val="nil"/>
            </w:tcBorders>
            <w:tcMar>
              <w:top w:w="0" w:type="dxa"/>
              <w:left w:w="53" w:type="dxa"/>
              <w:bottom w:w="0" w:type="dxa"/>
              <w:right w:w="53" w:type="dxa"/>
            </w:tcMar>
            <w:vAlign w:val="bottom"/>
          </w:tcPr>
          <w:p w14:paraId="7F89ABE6" w14:textId="6B62859F" w:rsidR="00D0338B" w:rsidRDefault="00D0338B">
            <w:pPr>
              <w:keepNext/>
              <w:spacing w:before="53" w:after="30"/>
              <w:jc w:val="right"/>
            </w:pPr>
          </w:p>
        </w:tc>
      </w:tr>
      <w:tr w:rsidR="00D0338B" w14:paraId="1AC3D6C9" w14:textId="77777777">
        <w:trPr>
          <w:cantSplit/>
          <w:trHeight w:hRule="exact" w:val="855"/>
          <w:jc w:val="center"/>
        </w:trPr>
        <w:tc>
          <w:tcPr>
            <w:tcW w:w="6555" w:type="dxa"/>
            <w:tcBorders>
              <w:top w:val="nil"/>
              <w:left w:val="nil"/>
              <w:bottom w:val="single" w:sz="8" w:space="0" w:color="000000"/>
              <w:right w:val="nil"/>
            </w:tcBorders>
            <w:tcMar>
              <w:top w:w="0" w:type="dxa"/>
              <w:left w:w="53" w:type="dxa"/>
              <w:bottom w:w="0" w:type="dxa"/>
              <w:right w:w="53" w:type="dxa"/>
            </w:tcMar>
            <w:vAlign w:val="bottom"/>
          </w:tcPr>
          <w:p w14:paraId="62BBBE65" w14:textId="77777777" w:rsidR="00D0338B" w:rsidRDefault="00DB7EA0">
            <w:pPr>
              <w:keepNext/>
              <w:spacing w:before="53" w:after="30"/>
              <w:jc w:val="right"/>
            </w:pPr>
            <w:r>
              <w:rPr>
                <w:rFonts w:ascii="Arial" w:eastAsia="Arial" w:hAnsi="Arial" w:cs="Arial"/>
                <w:color w:val="000000"/>
                <w:sz w:val="60"/>
              </w:rPr>
              <w:t>news release</w:t>
            </w:r>
          </w:p>
        </w:tc>
        <w:tc>
          <w:tcPr>
            <w:tcW w:w="360" w:type="dxa"/>
            <w:tcBorders>
              <w:top w:val="nil"/>
              <w:left w:val="nil"/>
              <w:bottom w:val="nil"/>
              <w:right w:val="nil"/>
            </w:tcBorders>
            <w:tcMar>
              <w:top w:w="0" w:type="dxa"/>
              <w:left w:w="0" w:type="dxa"/>
              <w:bottom w:w="0" w:type="dxa"/>
              <w:right w:w="0" w:type="dxa"/>
            </w:tcMar>
            <w:vAlign w:val="bottom"/>
          </w:tcPr>
          <w:p w14:paraId="57842406" w14:textId="77777777" w:rsidR="00D0338B" w:rsidRDefault="00D0338B">
            <w:pPr>
              <w:keepNext/>
            </w:pPr>
          </w:p>
        </w:tc>
        <w:tc>
          <w:tcPr>
            <w:tcW w:w="2700" w:type="dxa"/>
            <w:vMerge w:val="restart"/>
            <w:tcBorders>
              <w:top w:val="nil"/>
              <w:left w:val="nil"/>
              <w:bottom w:val="nil"/>
              <w:right w:val="nil"/>
            </w:tcBorders>
            <w:tcMar>
              <w:top w:w="0" w:type="dxa"/>
              <w:left w:w="53" w:type="dxa"/>
              <w:bottom w:w="0" w:type="dxa"/>
              <w:right w:w="53" w:type="dxa"/>
            </w:tcMar>
            <w:vAlign w:val="center"/>
          </w:tcPr>
          <w:p w14:paraId="0366D346" w14:textId="77777777" w:rsidR="00D0338B" w:rsidRDefault="00DB7EA0">
            <w:pPr>
              <w:keepNext/>
              <w:jc w:val="center"/>
              <w:rPr>
                <w:sz w:val="20"/>
              </w:rPr>
            </w:pPr>
            <w:r>
              <w:rPr>
                <w:noProof/>
              </w:rPr>
              <w:drawing>
                <wp:inline distT="0" distB="0" distL="0" distR="0" wp14:anchorId="529F9C01" wp14:editId="5030A1F0">
                  <wp:extent cx="1562100" cy="12319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231900"/>
                          </a:xfrm>
                          <a:prstGeom prst="rect">
                            <a:avLst/>
                          </a:prstGeom>
                          <a:noFill/>
                          <a:ln>
                            <a:noFill/>
                          </a:ln>
                        </pic:spPr>
                      </pic:pic>
                    </a:graphicData>
                  </a:graphic>
                </wp:inline>
              </w:drawing>
            </w:r>
          </w:p>
        </w:tc>
      </w:tr>
      <w:tr w:rsidR="00D0338B" w14:paraId="13A94C92" w14:textId="77777777">
        <w:trPr>
          <w:cantSplit/>
          <w:trHeight w:hRule="exact" w:val="1215"/>
          <w:jc w:val="center"/>
        </w:trPr>
        <w:tc>
          <w:tcPr>
            <w:tcW w:w="6555" w:type="dxa"/>
            <w:tcBorders>
              <w:top w:val="single" w:sz="8" w:space="0" w:color="000000"/>
              <w:left w:val="nil"/>
              <w:bottom w:val="nil"/>
              <w:right w:val="nil"/>
            </w:tcBorders>
            <w:tcMar>
              <w:top w:w="0" w:type="dxa"/>
              <w:left w:w="53" w:type="dxa"/>
              <w:bottom w:w="0" w:type="dxa"/>
              <w:right w:w="53" w:type="dxa"/>
            </w:tcMar>
          </w:tcPr>
          <w:p w14:paraId="661392E4" w14:textId="77777777" w:rsidR="00D0338B" w:rsidRDefault="00DB7EA0">
            <w:pPr>
              <w:keepNext/>
              <w:spacing w:before="33" w:after="30"/>
              <w:jc w:val="right"/>
            </w:pPr>
            <w:r>
              <w:rPr>
                <w:rFonts w:ascii="Arial" w:eastAsia="Arial" w:hAnsi="Arial" w:cs="Arial"/>
                <w:color w:val="000000"/>
                <w:sz w:val="18"/>
              </w:rPr>
              <w:t>www.pplnewsroom.com</w:t>
            </w:r>
          </w:p>
        </w:tc>
        <w:tc>
          <w:tcPr>
            <w:tcW w:w="360" w:type="dxa"/>
            <w:tcBorders>
              <w:top w:val="nil"/>
              <w:left w:val="nil"/>
              <w:bottom w:val="nil"/>
              <w:right w:val="nil"/>
            </w:tcBorders>
            <w:tcMar>
              <w:top w:w="0" w:type="dxa"/>
              <w:left w:w="0" w:type="dxa"/>
              <w:bottom w:w="0" w:type="dxa"/>
              <w:right w:w="0" w:type="dxa"/>
            </w:tcMar>
            <w:vAlign w:val="bottom"/>
          </w:tcPr>
          <w:p w14:paraId="17F725AC" w14:textId="77777777" w:rsidR="00D0338B" w:rsidRDefault="00D0338B">
            <w:pPr>
              <w:keepNext/>
            </w:pPr>
          </w:p>
        </w:tc>
        <w:tc>
          <w:tcPr>
            <w:tcW w:w="2700" w:type="dxa"/>
            <w:vMerge/>
            <w:tcBorders>
              <w:top w:val="nil"/>
              <w:left w:val="nil"/>
              <w:bottom w:val="nil"/>
              <w:right w:val="nil"/>
            </w:tcBorders>
          </w:tcPr>
          <w:p w14:paraId="7F6D0016" w14:textId="77777777" w:rsidR="00D0338B" w:rsidRDefault="00D0338B">
            <w:pPr>
              <w:keepNext/>
            </w:pPr>
          </w:p>
        </w:tc>
      </w:tr>
      <w:tr w:rsidR="00D0338B" w14:paraId="3B97D65D" w14:textId="77777777">
        <w:trPr>
          <w:cantSplit/>
          <w:trHeight w:hRule="exact" w:val="180"/>
          <w:jc w:val="center"/>
        </w:trPr>
        <w:tc>
          <w:tcPr>
            <w:tcW w:w="6555" w:type="dxa"/>
            <w:tcBorders>
              <w:top w:val="nil"/>
              <w:left w:val="nil"/>
              <w:bottom w:val="nil"/>
              <w:right w:val="nil"/>
            </w:tcBorders>
            <w:tcMar>
              <w:top w:w="0" w:type="dxa"/>
              <w:left w:w="0" w:type="dxa"/>
              <w:bottom w:w="0" w:type="dxa"/>
              <w:right w:w="0" w:type="dxa"/>
            </w:tcMar>
            <w:vAlign w:val="bottom"/>
          </w:tcPr>
          <w:p w14:paraId="60EB4B30" w14:textId="77777777" w:rsidR="00D0338B" w:rsidRDefault="00D0338B"/>
        </w:tc>
        <w:tc>
          <w:tcPr>
            <w:tcW w:w="360" w:type="dxa"/>
            <w:tcBorders>
              <w:top w:val="nil"/>
              <w:left w:val="nil"/>
              <w:bottom w:val="nil"/>
              <w:right w:val="nil"/>
            </w:tcBorders>
            <w:tcMar>
              <w:top w:w="0" w:type="dxa"/>
              <w:left w:w="0" w:type="dxa"/>
              <w:bottom w:w="0" w:type="dxa"/>
              <w:right w:w="0" w:type="dxa"/>
            </w:tcMar>
            <w:vAlign w:val="bottom"/>
          </w:tcPr>
          <w:p w14:paraId="3DB05B96" w14:textId="77777777" w:rsidR="00D0338B" w:rsidRDefault="00D0338B"/>
        </w:tc>
        <w:tc>
          <w:tcPr>
            <w:tcW w:w="2700" w:type="dxa"/>
            <w:vMerge/>
            <w:tcBorders>
              <w:top w:val="nil"/>
              <w:left w:val="nil"/>
              <w:bottom w:val="nil"/>
              <w:right w:val="nil"/>
            </w:tcBorders>
          </w:tcPr>
          <w:p w14:paraId="31B65997" w14:textId="77777777" w:rsidR="00D0338B" w:rsidRDefault="00D0338B"/>
        </w:tc>
      </w:tr>
    </w:tbl>
    <w:p w14:paraId="4B0785D3" w14:textId="77777777" w:rsidR="00A77B3E" w:rsidRDefault="00A77B3E">
      <w:pPr>
        <w:spacing w:after="100"/>
        <w:rPr>
          <w:sz w:val="10"/>
        </w:rPr>
      </w:pPr>
      <w:bookmarkStart w:id="0" w:name="Section1"/>
      <w:bookmarkEnd w:id="0"/>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831"/>
      </w:tblGrid>
      <w:tr w:rsidR="00D0338B" w14:paraId="29005CEF" w14:textId="77777777" w:rsidTr="009864DB">
        <w:trPr>
          <w:cantSplit/>
          <w:trHeight w:hRule="exact" w:val="621"/>
          <w:jc w:val="center"/>
        </w:trPr>
        <w:tc>
          <w:tcPr>
            <w:tcW w:w="1205" w:type="dxa"/>
            <w:tcBorders>
              <w:top w:val="nil"/>
              <w:left w:val="nil"/>
              <w:bottom w:val="nil"/>
              <w:right w:val="nil"/>
            </w:tcBorders>
            <w:tcMar>
              <w:top w:w="0" w:type="dxa"/>
              <w:left w:w="53" w:type="dxa"/>
              <w:bottom w:w="0" w:type="dxa"/>
              <w:right w:w="53" w:type="dxa"/>
            </w:tcMar>
          </w:tcPr>
          <w:p w14:paraId="7AA5D9E6" w14:textId="77777777" w:rsidR="00D0338B" w:rsidRDefault="00DB7EA0">
            <w:pPr>
              <w:spacing w:before="53" w:after="30"/>
            </w:pPr>
            <w:r>
              <w:rPr>
                <w:color w:val="000000"/>
              </w:rPr>
              <w:t>Contacts:</w:t>
            </w:r>
          </w:p>
        </w:tc>
        <w:tc>
          <w:tcPr>
            <w:tcW w:w="8831" w:type="dxa"/>
            <w:tcBorders>
              <w:top w:val="nil"/>
              <w:left w:val="nil"/>
              <w:bottom w:val="nil"/>
              <w:right w:val="nil"/>
            </w:tcBorders>
            <w:tcMar>
              <w:top w:w="0" w:type="dxa"/>
              <w:left w:w="53" w:type="dxa"/>
              <w:bottom w:w="0" w:type="dxa"/>
              <w:right w:w="53" w:type="dxa"/>
            </w:tcMar>
            <w:vAlign w:val="bottom"/>
          </w:tcPr>
          <w:p w14:paraId="47A53C1F" w14:textId="77777777" w:rsidR="00D0338B" w:rsidRDefault="00DB7EA0">
            <w:pPr>
              <w:spacing w:before="53" w:after="30"/>
            </w:pPr>
            <w:r>
              <w:rPr>
                <w:color w:val="000000"/>
              </w:rPr>
              <w:t>For news media: Ryan Hill, 610-774-4033</w:t>
            </w:r>
            <w:r>
              <w:br/>
            </w:r>
            <w:r>
              <w:rPr>
                <w:color w:val="000000"/>
              </w:rPr>
              <w:t>For financial analysts: Andy Ludwig, 610-774-3389</w:t>
            </w:r>
          </w:p>
        </w:tc>
      </w:tr>
    </w:tbl>
    <w:p w14:paraId="0DFA1757" w14:textId="77777777" w:rsidR="00A77B3E" w:rsidRDefault="00A77B3E">
      <w:pPr>
        <w:tabs>
          <w:tab w:val="right" w:pos="7200"/>
        </w:tabs>
        <w:spacing w:line="288" w:lineRule="auto"/>
        <w:jc w:val="center"/>
        <w:rPr>
          <w:sz w:val="20"/>
        </w:rPr>
      </w:pPr>
    </w:p>
    <w:p w14:paraId="4E5E2844" w14:textId="77777777" w:rsidR="00A77B3E" w:rsidRDefault="00DB7EA0">
      <w:pPr>
        <w:spacing w:line="288" w:lineRule="auto"/>
        <w:jc w:val="center"/>
        <w:outlineLvl w:val="0"/>
        <w:rPr>
          <w:b/>
          <w:u w:val="single"/>
        </w:rPr>
      </w:pPr>
      <w:r>
        <w:rPr>
          <w:b/>
          <w:u w:val="single"/>
        </w:rPr>
        <w:t xml:space="preserve">PPL Corporation Reports 2020 Earnings </w:t>
      </w:r>
    </w:p>
    <w:p w14:paraId="0D3B935F" w14:textId="77777777" w:rsidR="00A77B3E" w:rsidRDefault="00A77B3E">
      <w:pPr>
        <w:tabs>
          <w:tab w:val="left" w:pos="1080"/>
        </w:tabs>
        <w:spacing w:line="288" w:lineRule="auto"/>
        <w:rPr>
          <w:i/>
        </w:rPr>
      </w:pPr>
    </w:p>
    <w:p w14:paraId="41914EBF" w14:textId="77777777" w:rsidR="00A77B3E" w:rsidRDefault="00DB7EA0">
      <w:pPr>
        <w:numPr>
          <w:ilvl w:val="0"/>
          <w:numId w:val="2"/>
        </w:numPr>
        <w:tabs>
          <w:tab w:val="left" w:pos="1080"/>
        </w:tabs>
        <w:spacing w:line="288" w:lineRule="auto"/>
        <w:ind w:left="1080"/>
        <w:rPr>
          <w:rFonts w:ascii="Arial" w:eastAsia="Arial" w:hAnsi="Arial" w:cs="Arial"/>
        </w:rPr>
      </w:pPr>
      <w:r>
        <w:rPr>
          <w:i/>
        </w:rPr>
        <w:t xml:space="preserve">Announces 2020 reported earnings of $1.91 per share. </w:t>
      </w:r>
    </w:p>
    <w:p w14:paraId="7E86C7CE" w14:textId="77777777" w:rsidR="00A77B3E" w:rsidRDefault="00DB7EA0">
      <w:pPr>
        <w:numPr>
          <w:ilvl w:val="0"/>
          <w:numId w:val="2"/>
        </w:numPr>
        <w:spacing w:line="288" w:lineRule="auto"/>
        <w:ind w:left="1080"/>
        <w:rPr>
          <w:rFonts w:ascii="Arial" w:eastAsia="Arial" w:hAnsi="Arial" w:cs="Arial"/>
        </w:rPr>
      </w:pPr>
      <w:r>
        <w:rPr>
          <w:i/>
        </w:rPr>
        <w:t>Delivers 2020 earnings from ongoing operations of $2.40 per share, achieving results within original forecast range despite COVID-19 impacts.</w:t>
      </w:r>
    </w:p>
    <w:p w14:paraId="13AC228C" w14:textId="77777777" w:rsidR="00A77B3E" w:rsidRDefault="00DB7EA0">
      <w:pPr>
        <w:numPr>
          <w:ilvl w:val="0"/>
          <w:numId w:val="2"/>
        </w:numPr>
        <w:spacing w:line="288" w:lineRule="auto"/>
        <w:ind w:left="1080"/>
        <w:rPr>
          <w:rFonts w:ascii="Arial" w:eastAsia="Arial" w:hAnsi="Arial" w:cs="Arial"/>
        </w:rPr>
      </w:pPr>
      <w:r>
        <w:rPr>
          <w:i/>
        </w:rPr>
        <w:t>Declares quarterly dividend of $0.4150 per share.</w:t>
      </w:r>
    </w:p>
    <w:p w14:paraId="4DB62050" w14:textId="77777777" w:rsidR="00A77B3E" w:rsidRDefault="00A77B3E">
      <w:pPr>
        <w:spacing w:line="288" w:lineRule="auto"/>
        <w:ind w:left="1080"/>
        <w:rPr>
          <w:i/>
        </w:rPr>
      </w:pPr>
    </w:p>
    <w:p w14:paraId="5F027387" w14:textId="77777777" w:rsidR="00A77B3E" w:rsidRDefault="00DB7E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 xml:space="preserve">ALLENTOWN, Pa. (Feb. 18, 2021) – PPL Corporation (NYSE: PPL) on Thursday (2/18) announced 2020 reported earnings (GAAP) of $1.47 billion, or $1.91 per share, compared with $1.75 billion, or $2.37 per share, in 2019. </w:t>
      </w:r>
    </w:p>
    <w:p w14:paraId="7C16F368" w14:textId="77777777" w:rsidR="00A77B3E" w:rsidRDefault="00DB7E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sz w:val="20"/>
        </w:rPr>
      </w:pPr>
      <w:r>
        <w:tab/>
        <w:t xml:space="preserve">Adjusting for special items, 2020 earnings from ongoing operations (non-GAAP) were $1.85 billion, or $2.40 per share, compared with 2019 ongoing earnings of $1.81 billion, or $2.45 per share. </w:t>
      </w:r>
    </w:p>
    <w:p w14:paraId="1784D62B" w14:textId="77777777" w:rsidR="00A77B3E" w:rsidRDefault="00DB7E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firstLine="720"/>
      </w:pPr>
      <w:r>
        <w:t xml:space="preserve">  “In the face of a global pandemic, PPL demonstrated its resilience, providing electricity and natural gas safely and reliably to first responders and more than 10 million customers, giving them one less thing to worry about in an uncertain world,” said PPL President and Chief Executive Officer Vincent Sorgi.</w:t>
      </w:r>
    </w:p>
    <w:p w14:paraId="5E18ECFC" w14:textId="77777777" w:rsidR="00A77B3E" w:rsidRDefault="00DB7EA0">
      <w:pPr>
        <w:spacing w:line="276" w:lineRule="auto"/>
        <w:ind w:firstLine="720"/>
      </w:pPr>
      <w:r>
        <w:t>“As the pandemic necessitated changes to the way we work, we responded quickly and effectively, achieving award-winning customer satisfaction, completing more than $3 billion in infrastructure improvements, advancing our clean energy strategy, and supporting COVID-19 relief for individuals and families struggling in our communities.</w:t>
      </w:r>
    </w:p>
    <w:p w14:paraId="7D4876AE" w14:textId="77777777" w:rsidR="00A77B3E" w:rsidRDefault="00DB7EA0">
      <w:pPr>
        <w:spacing w:line="276" w:lineRule="auto"/>
        <w:ind w:firstLine="720"/>
      </w:pPr>
      <w:r>
        <w:t>“In addition, as COVID-19 forced lockdowns and business closures, we positioned PPL to weather the economic downturn and managed the financial impact, achieving our earnings guidance and delivering on our commitment to return capital to shareowners.”</w:t>
      </w:r>
    </w:p>
    <w:p w14:paraId="5FFDEA12" w14:textId="77777777" w:rsidR="00A77B3E" w:rsidRDefault="00DB7EA0">
      <w:pPr>
        <w:spacing w:line="276" w:lineRule="auto"/>
        <w:ind w:firstLine="720"/>
      </w:pPr>
      <w:r>
        <w:t>In achieving earnings from ongoing operations at the low end of the company’s original 2020 earnings guidance of $2.40 to $2.60 per share, PPL overcame a $0.12-per-share unfavorable impact from COVID-19 due to lower sales volumes in the U.K. and lower commercial and industrial demand in Kentucky, as well as a $0.05 unfavorable impact due to milder than normal weather.</w:t>
      </w:r>
    </w:p>
    <w:p w14:paraId="2B098DEE" w14:textId="77777777" w:rsidR="00A77B3E" w:rsidRDefault="00DB7EA0">
      <w:pPr>
        <w:spacing w:line="276" w:lineRule="auto"/>
        <w:ind w:firstLine="720"/>
      </w:pPr>
      <w:r>
        <w:t>Looking forward, Sorgi said the company’s long-term strategy is to achieve industry-leading performance in safety, reliability, customer satisfaction and operational efficiency; to advance a clean energy transition while maintaining affordability and reliability; to maintain a strong financial foundation and create long-term value for our shareowners; to foster a diverse and exceptional workplace; and to build strong communities.</w:t>
      </w:r>
    </w:p>
    <w:p w14:paraId="2896B1B0" w14:textId="77777777" w:rsidR="00A77B3E" w:rsidRDefault="00DB7EA0">
      <w:pPr>
        <w:spacing w:line="276" w:lineRule="auto"/>
      </w:pPr>
      <w:r>
        <w:lastRenderedPageBreak/>
        <w:t xml:space="preserve">            In 2021, that includes completing the process to sell PPL’s U.K. utility business and reposition the corporation as a U.S.-focused utility company, a move PPL believes will simplify its business mix, unlock shareowner value, strengthen its balance sheet, enhance long-term earnings growth and provide the company greater financial flexibility. </w:t>
      </w:r>
    </w:p>
    <w:p w14:paraId="382B78B1" w14:textId="224DA573" w:rsidR="00A77B3E" w:rsidRDefault="00DB7EA0">
      <w:pPr>
        <w:spacing w:line="276" w:lineRule="auto"/>
      </w:pPr>
      <w:r>
        <w:t xml:space="preserve">            PPL said the formal process to sell the U.K. utility business remains on track. While there can be no assurance of any specific outcome, including whether it will result in </w:t>
      </w:r>
      <w:r w:rsidR="008636DF">
        <w:t xml:space="preserve">the </w:t>
      </w:r>
      <w:r>
        <w:t>completion of any transaction, the company continues to expect to announce a transaction in the first half of 2021.</w:t>
      </w:r>
    </w:p>
    <w:p w14:paraId="76C1EA46" w14:textId="77777777" w:rsidR="00A77B3E" w:rsidRDefault="00DB7EA0">
      <w:pPr>
        <w:spacing w:line="276" w:lineRule="auto"/>
        <w:ind w:firstLine="720"/>
      </w:pPr>
      <w:r>
        <w:t>In addition to announcing year-end earnings results, PPL reported fourth-quarter 2020 earnings of $290 million, or $0.38 per share, compared with reported earnings of $364 million, or $0.48 per share, in 2019. Adjusting for special items, fourth-quarter 2020 earnings from ongoing operations were $456 million, or $0.59 per share, compared with $431 million, or $0.57 per share, in 2019.</w:t>
      </w:r>
    </w:p>
    <w:p w14:paraId="084586AE" w14:textId="77777777" w:rsidR="00A77B3E" w:rsidRDefault="00DB7EA0">
      <w:pPr>
        <w:spacing w:line="276" w:lineRule="auto"/>
        <w:ind w:firstLine="720"/>
      </w:pPr>
      <w:r>
        <w:t xml:space="preserve">The company also maintained its commitment to dividends as a key component of total shareowner return, </w:t>
      </w:r>
      <w:r>
        <w:rPr>
          <w:color w:val="2D2926"/>
          <w:shd w:val="clear" w:color="auto" w:fill="FFFFFF"/>
        </w:rPr>
        <w:t xml:space="preserve">announcing a quarterly common stock dividend of </w:t>
      </w:r>
      <w:r>
        <w:t>$0.4150 per share, payable April 1, 2021, to shareowners of record as of March 10, 2021. The dividend will mark the company’s 301</w:t>
      </w:r>
      <w:r>
        <w:rPr>
          <w:vertAlign w:val="superscript"/>
        </w:rPr>
        <w:t>st</w:t>
      </w:r>
      <w:r>
        <w:t xml:space="preserve"> consecutive quarterly dividend paid since 1946.</w:t>
      </w:r>
    </w:p>
    <w:p w14:paraId="6E4C6F70"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r>
      <w:r>
        <w:tab/>
      </w:r>
    </w:p>
    <w:p w14:paraId="055C1EAB"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center"/>
        <w:rPr>
          <w:b/>
        </w:rPr>
      </w:pPr>
      <w:r>
        <w:rPr>
          <w:b/>
        </w:rPr>
        <w:t>Fourth-Quarter and Year-to-Date Earnings Details</w:t>
      </w:r>
    </w:p>
    <w:p w14:paraId="3A1126B7"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14:paraId="3F0714D8" w14:textId="666B673A"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88" w:lineRule="auto"/>
      </w:pPr>
      <w:r>
        <w:tab/>
        <w:t xml:space="preserve">As discussed in this news release, reported earnings are calculated in accordance with U.S. Generally Accepted Accounting Principles (GAAP). </w:t>
      </w:r>
      <w:r w:rsidR="009864DB">
        <w:t>“</w:t>
      </w:r>
      <w:r>
        <w:t>Earnings from ongoing operations</w:t>
      </w:r>
      <w:r w:rsidR="009864DB">
        <w:t>”</w:t>
      </w:r>
      <w:r>
        <w:t xml:space="preserve"> is a non-GAAP financial measure that is adjusted for special items. See the tables at the end of this news release for a reconciliation of reported earnings to earnings from ongoing operations, including an itemization of special items.</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63"/>
        <w:gridCol w:w="715"/>
        <w:gridCol w:w="100"/>
        <w:gridCol w:w="75"/>
        <w:gridCol w:w="163"/>
        <w:gridCol w:w="715"/>
        <w:gridCol w:w="100"/>
        <w:gridCol w:w="75"/>
        <w:gridCol w:w="875"/>
        <w:gridCol w:w="199"/>
        <w:gridCol w:w="105"/>
        <w:gridCol w:w="163"/>
        <w:gridCol w:w="715"/>
        <w:gridCol w:w="100"/>
        <w:gridCol w:w="75"/>
        <w:gridCol w:w="163"/>
        <w:gridCol w:w="715"/>
        <w:gridCol w:w="100"/>
        <w:gridCol w:w="75"/>
        <w:gridCol w:w="875"/>
        <w:gridCol w:w="199"/>
      </w:tblGrid>
      <w:tr w:rsidR="00D0338B" w14:paraId="065DD145" w14:textId="77777777">
        <w:trPr>
          <w:cantSplit/>
          <w:trHeight w:hRule="exact" w:val="540"/>
          <w:jc w:val="center"/>
        </w:trPr>
        <w:tc>
          <w:tcPr>
            <w:tcW w:w="4140" w:type="dxa"/>
            <w:tcBorders>
              <w:top w:val="nil"/>
              <w:left w:val="nil"/>
              <w:bottom w:val="nil"/>
              <w:right w:val="nil"/>
            </w:tcBorders>
            <w:tcMar>
              <w:top w:w="0" w:type="dxa"/>
              <w:left w:w="53" w:type="dxa"/>
              <w:bottom w:w="0" w:type="dxa"/>
              <w:right w:w="53" w:type="dxa"/>
            </w:tcMar>
            <w:vAlign w:val="bottom"/>
          </w:tcPr>
          <w:p w14:paraId="0DB77E8F" w14:textId="77777777" w:rsidR="00D0338B" w:rsidRDefault="00DB7EA0">
            <w:pPr>
              <w:keepNext/>
              <w:spacing w:before="53" w:after="30"/>
            </w:pPr>
            <w:r>
              <w:rPr>
                <w:i/>
                <w:color w:val="000000"/>
                <w:sz w:val="22"/>
              </w:rPr>
              <w:t>(Dollars in millions, except for per share amounts)</w:t>
            </w:r>
          </w:p>
        </w:tc>
        <w:tc>
          <w:tcPr>
            <w:tcW w:w="3075" w:type="dxa"/>
            <w:gridSpan w:val="10"/>
            <w:tcBorders>
              <w:top w:val="nil"/>
              <w:left w:val="nil"/>
              <w:bottom w:val="single" w:sz="8" w:space="0" w:color="000000"/>
              <w:right w:val="nil"/>
            </w:tcBorders>
            <w:tcMar>
              <w:top w:w="0" w:type="dxa"/>
              <w:left w:w="53" w:type="dxa"/>
              <w:bottom w:w="0" w:type="dxa"/>
              <w:right w:w="53" w:type="dxa"/>
            </w:tcMar>
            <w:vAlign w:val="bottom"/>
          </w:tcPr>
          <w:p w14:paraId="537EF07E" w14:textId="77777777" w:rsidR="00D0338B" w:rsidRDefault="00DB7EA0">
            <w:pPr>
              <w:keepNext/>
              <w:spacing w:before="53" w:after="30"/>
              <w:jc w:val="center"/>
            </w:pPr>
            <w:r>
              <w:rPr>
                <w:b/>
                <w:color w:val="000000"/>
                <w:sz w:val="22"/>
              </w:rPr>
              <w:t>4th Quarter</w:t>
            </w:r>
          </w:p>
        </w:tc>
        <w:tc>
          <w:tcPr>
            <w:tcW w:w="105" w:type="dxa"/>
            <w:tcBorders>
              <w:top w:val="nil"/>
              <w:left w:val="nil"/>
              <w:bottom w:val="nil"/>
              <w:right w:val="nil"/>
            </w:tcBorders>
            <w:tcMar>
              <w:top w:w="0" w:type="dxa"/>
              <w:left w:w="0" w:type="dxa"/>
              <w:bottom w:w="0" w:type="dxa"/>
              <w:right w:w="0" w:type="dxa"/>
            </w:tcMar>
            <w:vAlign w:val="bottom"/>
          </w:tcPr>
          <w:p w14:paraId="47DCE29F" w14:textId="77777777" w:rsidR="00D0338B" w:rsidRDefault="00D0338B">
            <w:pPr>
              <w:keepNext/>
            </w:pPr>
          </w:p>
        </w:tc>
        <w:tc>
          <w:tcPr>
            <w:tcW w:w="3075" w:type="dxa"/>
            <w:gridSpan w:val="10"/>
            <w:tcBorders>
              <w:top w:val="nil"/>
              <w:left w:val="nil"/>
              <w:bottom w:val="single" w:sz="8" w:space="0" w:color="000000"/>
              <w:right w:val="nil"/>
            </w:tcBorders>
            <w:tcMar>
              <w:top w:w="0" w:type="dxa"/>
              <w:left w:w="53" w:type="dxa"/>
              <w:bottom w:w="0" w:type="dxa"/>
              <w:right w:w="53" w:type="dxa"/>
            </w:tcMar>
            <w:vAlign w:val="bottom"/>
          </w:tcPr>
          <w:p w14:paraId="7FEEC739" w14:textId="77777777" w:rsidR="00D0338B" w:rsidRDefault="00DB7EA0">
            <w:pPr>
              <w:keepNext/>
              <w:spacing w:before="53" w:after="30"/>
              <w:jc w:val="center"/>
            </w:pPr>
            <w:r>
              <w:rPr>
                <w:b/>
                <w:color w:val="000000"/>
                <w:sz w:val="22"/>
              </w:rPr>
              <w:t>Year</w:t>
            </w:r>
          </w:p>
        </w:tc>
      </w:tr>
      <w:tr w:rsidR="00D0338B" w14:paraId="4D3A272B" w14:textId="77777777">
        <w:trPr>
          <w:cantSplit/>
          <w:trHeight w:hRule="exact" w:val="300"/>
          <w:jc w:val="center"/>
        </w:trPr>
        <w:tc>
          <w:tcPr>
            <w:tcW w:w="4140" w:type="dxa"/>
            <w:tcBorders>
              <w:top w:val="nil"/>
              <w:left w:val="nil"/>
              <w:bottom w:val="nil"/>
              <w:right w:val="nil"/>
            </w:tcBorders>
            <w:tcMar>
              <w:top w:w="0" w:type="dxa"/>
              <w:left w:w="0" w:type="dxa"/>
              <w:bottom w:w="0" w:type="dxa"/>
              <w:right w:w="0" w:type="dxa"/>
            </w:tcMar>
            <w:vAlign w:val="bottom"/>
          </w:tcPr>
          <w:p w14:paraId="5831E569" w14:textId="77777777" w:rsidR="00D0338B" w:rsidRDefault="00D0338B">
            <w:pPr>
              <w:keepNext/>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14:paraId="0D3AC078" w14:textId="77777777" w:rsidR="00D0338B" w:rsidRDefault="00DB7EA0">
            <w:pPr>
              <w:keepNext/>
              <w:spacing w:before="33" w:after="30"/>
              <w:jc w:val="center"/>
            </w:pPr>
            <w:r>
              <w:rPr>
                <w:b/>
                <w:color w:val="000000"/>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1F66E79" w14:textId="77777777" w:rsidR="00D0338B" w:rsidRDefault="00D0338B">
            <w:pPr>
              <w:keepNext/>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5F8D840" w14:textId="77777777" w:rsidR="00D0338B" w:rsidRDefault="00DB7EA0">
            <w:pPr>
              <w:keepNext/>
              <w:spacing w:before="33" w:after="30"/>
              <w:jc w:val="center"/>
            </w:pPr>
            <w:r>
              <w:rPr>
                <w:b/>
                <w:color w:val="000000"/>
                <w:sz w:val="22"/>
              </w:rPr>
              <w:t>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68CBCE2" w14:textId="77777777" w:rsidR="00D0338B" w:rsidRDefault="00D0338B">
            <w:pPr>
              <w:keepNext/>
            </w:pPr>
          </w:p>
        </w:tc>
        <w:tc>
          <w:tcPr>
            <w:tcW w:w="97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5036F554" w14:textId="77777777" w:rsidR="00D0338B" w:rsidRDefault="00DB7EA0">
            <w:pPr>
              <w:keepNext/>
              <w:spacing w:before="33" w:after="30"/>
              <w:jc w:val="center"/>
            </w:pPr>
            <w:r>
              <w:rPr>
                <w:b/>
                <w:color w:val="000000"/>
                <w:sz w:val="22"/>
              </w:rPr>
              <w:t>Change</w:t>
            </w:r>
          </w:p>
        </w:tc>
        <w:tc>
          <w:tcPr>
            <w:tcW w:w="105" w:type="dxa"/>
            <w:tcBorders>
              <w:top w:val="nil"/>
              <w:left w:val="nil"/>
              <w:bottom w:val="nil"/>
              <w:right w:val="nil"/>
            </w:tcBorders>
            <w:tcMar>
              <w:top w:w="0" w:type="dxa"/>
              <w:left w:w="0" w:type="dxa"/>
              <w:bottom w:w="0" w:type="dxa"/>
              <w:right w:w="0" w:type="dxa"/>
            </w:tcMar>
            <w:vAlign w:val="bottom"/>
          </w:tcPr>
          <w:p w14:paraId="676E7F70" w14:textId="77777777" w:rsidR="00D0338B" w:rsidRDefault="00D0338B">
            <w:pPr>
              <w:keepNext/>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14:paraId="151BE96C" w14:textId="77777777" w:rsidR="00D0338B" w:rsidRDefault="00DB7EA0">
            <w:pPr>
              <w:keepNext/>
              <w:spacing w:before="33" w:after="30"/>
              <w:jc w:val="center"/>
            </w:pPr>
            <w:r>
              <w:rPr>
                <w:b/>
                <w:color w:val="000000"/>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AD67FC4" w14:textId="77777777" w:rsidR="00D0338B" w:rsidRDefault="00D0338B">
            <w:pPr>
              <w:keepNext/>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1F0707F" w14:textId="77777777" w:rsidR="00D0338B" w:rsidRDefault="00DB7EA0">
            <w:pPr>
              <w:keepNext/>
              <w:spacing w:before="33" w:after="30"/>
              <w:jc w:val="center"/>
            </w:pPr>
            <w:r>
              <w:rPr>
                <w:b/>
                <w:color w:val="000000"/>
                <w:sz w:val="22"/>
              </w:rPr>
              <w:t>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018A05D" w14:textId="77777777" w:rsidR="00D0338B" w:rsidRDefault="00D0338B">
            <w:pPr>
              <w:keepNext/>
            </w:pPr>
          </w:p>
        </w:tc>
        <w:tc>
          <w:tcPr>
            <w:tcW w:w="97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0BCCDCAA" w14:textId="77777777" w:rsidR="00D0338B" w:rsidRDefault="00DB7EA0">
            <w:pPr>
              <w:keepNext/>
              <w:spacing w:before="33" w:after="30"/>
              <w:jc w:val="center"/>
            </w:pPr>
            <w:r>
              <w:rPr>
                <w:b/>
                <w:color w:val="000000"/>
                <w:sz w:val="22"/>
              </w:rPr>
              <w:t>Change</w:t>
            </w:r>
          </w:p>
        </w:tc>
      </w:tr>
      <w:tr w:rsidR="00D0338B" w14:paraId="7EFF6849" w14:textId="77777777">
        <w:trPr>
          <w:cantSplit/>
          <w:trHeight w:hRule="exact" w:val="315"/>
          <w:jc w:val="center"/>
        </w:trPr>
        <w:tc>
          <w:tcPr>
            <w:tcW w:w="4140" w:type="dxa"/>
            <w:tcBorders>
              <w:top w:val="nil"/>
              <w:left w:val="nil"/>
              <w:bottom w:val="nil"/>
              <w:right w:val="nil"/>
            </w:tcBorders>
            <w:shd w:val="clear" w:color="auto" w:fill="CCEEFF"/>
            <w:tcMar>
              <w:top w:w="0" w:type="dxa"/>
              <w:left w:w="53" w:type="dxa"/>
              <w:bottom w:w="0" w:type="dxa"/>
              <w:right w:w="53" w:type="dxa"/>
            </w:tcMar>
            <w:vAlign w:val="bottom"/>
          </w:tcPr>
          <w:p w14:paraId="4AFD8C6A" w14:textId="77777777" w:rsidR="00D0338B" w:rsidRDefault="00DB7EA0">
            <w:pPr>
              <w:keepNext/>
              <w:spacing w:before="53" w:after="30"/>
            </w:pPr>
            <w:r>
              <w:rPr>
                <w:color w:val="000000"/>
                <w:sz w:val="22"/>
              </w:rPr>
              <w:t>Reported earnings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C0098A5"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DECDF7D" w14:textId="77777777" w:rsidR="00D0338B" w:rsidRDefault="00DB7EA0">
            <w:pPr>
              <w:keepNext/>
              <w:spacing w:before="33" w:after="30"/>
              <w:jc w:val="right"/>
            </w:pPr>
            <w:r>
              <w:rPr>
                <w:color w:val="000000"/>
                <w:sz w:val="22"/>
              </w:rPr>
              <w:t>290 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3468777"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C7BDE5"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0CCAF9E"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77A076E" w14:textId="77777777" w:rsidR="00D0338B" w:rsidRDefault="00DB7EA0">
            <w:pPr>
              <w:keepNext/>
              <w:spacing w:before="33" w:after="30"/>
              <w:jc w:val="right"/>
            </w:pPr>
            <w:r>
              <w:rPr>
                <w:color w:val="000000"/>
                <w:sz w:val="22"/>
              </w:rPr>
              <w:t>364 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F7BE84B"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8B5D36" w14:textId="77777777" w:rsidR="00D0338B" w:rsidRDefault="00D0338B">
            <w:pPr>
              <w:keepNext/>
            </w:pPr>
          </w:p>
        </w:tc>
        <w:tc>
          <w:tcPr>
            <w:tcW w:w="8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083C3E7" w14:textId="77777777" w:rsidR="00D0338B" w:rsidRDefault="00DB7EA0">
            <w:pPr>
              <w:keepNext/>
              <w:spacing w:before="33" w:after="30"/>
              <w:jc w:val="right"/>
            </w:pPr>
            <w:r>
              <w:rPr>
                <w:color w:val="000000"/>
                <w:sz w:val="22"/>
              </w:rPr>
              <w:t>(20)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9FF1BE1" w14:textId="77777777" w:rsidR="00D0338B" w:rsidRDefault="00DB7EA0">
            <w:pPr>
              <w:keepNext/>
              <w:spacing w:before="33" w:after="30"/>
              <w:jc w:val="right"/>
            </w:pPr>
            <w:r>
              <w:rPr>
                <w:color w:val="000000"/>
                <w:sz w:val="22"/>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2ADD71F7"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C69CCE7"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1E667EC" w14:textId="77777777" w:rsidR="00D0338B" w:rsidRDefault="00DB7EA0">
            <w:pPr>
              <w:keepNext/>
              <w:spacing w:before="33" w:after="30"/>
              <w:jc w:val="right"/>
            </w:pPr>
            <w:r>
              <w:rPr>
                <w:color w:val="000000"/>
                <w:sz w:val="22"/>
              </w:rPr>
              <w:t>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F2DB6CF"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CAD027"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AA067C5"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6B9D738" w14:textId="77777777" w:rsidR="00D0338B" w:rsidRDefault="00DB7EA0">
            <w:pPr>
              <w:keepNext/>
              <w:spacing w:before="33" w:after="30"/>
              <w:jc w:val="right"/>
            </w:pPr>
            <w:r>
              <w:rPr>
                <w:color w:val="000000"/>
                <w:sz w:val="22"/>
              </w:rPr>
              <w:t>1,746 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2825357"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C3FBD6" w14:textId="77777777" w:rsidR="00D0338B" w:rsidRDefault="00D0338B">
            <w:pPr>
              <w:keepNext/>
            </w:pPr>
          </w:p>
        </w:tc>
        <w:tc>
          <w:tcPr>
            <w:tcW w:w="8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5A1024E" w14:textId="77777777" w:rsidR="00D0338B" w:rsidRDefault="00DB7EA0">
            <w:pPr>
              <w:keepNext/>
              <w:spacing w:before="33" w:after="30"/>
              <w:jc w:val="right"/>
            </w:pPr>
            <w:r>
              <w:rPr>
                <w:color w:val="000000"/>
                <w:sz w:val="22"/>
              </w:rPr>
              <w:t>(16)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E241B4" w14:textId="77777777" w:rsidR="00D0338B" w:rsidRDefault="00DB7EA0">
            <w:pPr>
              <w:keepNext/>
              <w:spacing w:before="33" w:after="30"/>
              <w:jc w:val="right"/>
            </w:pPr>
            <w:r>
              <w:rPr>
                <w:color w:val="000000"/>
                <w:sz w:val="22"/>
              </w:rPr>
              <w:t>%</w:t>
            </w:r>
          </w:p>
        </w:tc>
      </w:tr>
      <w:tr w:rsidR="00D0338B" w14:paraId="611BE896" w14:textId="77777777">
        <w:trPr>
          <w:cantSplit/>
          <w:trHeight w:hRule="exact" w:val="315"/>
          <w:jc w:val="center"/>
        </w:trPr>
        <w:tc>
          <w:tcPr>
            <w:tcW w:w="4140" w:type="dxa"/>
            <w:tcBorders>
              <w:top w:val="nil"/>
              <w:left w:val="nil"/>
              <w:bottom w:val="nil"/>
              <w:right w:val="nil"/>
            </w:tcBorders>
            <w:tcMar>
              <w:top w:w="0" w:type="dxa"/>
              <w:left w:w="53" w:type="dxa"/>
              <w:bottom w:w="0" w:type="dxa"/>
              <w:right w:w="53" w:type="dxa"/>
            </w:tcMar>
            <w:vAlign w:val="bottom"/>
          </w:tcPr>
          <w:p w14:paraId="2750A6D1" w14:textId="77777777" w:rsidR="00D0338B" w:rsidRDefault="00DB7EA0">
            <w:pPr>
              <w:keepNext/>
              <w:spacing w:before="53" w:after="30"/>
            </w:pPr>
            <w:r>
              <w:rPr>
                <w:color w:val="000000"/>
                <w:sz w:val="22"/>
              </w:rPr>
              <w:t>Reported earnings per share</w:t>
            </w:r>
          </w:p>
        </w:tc>
        <w:tc>
          <w:tcPr>
            <w:tcW w:w="160" w:type="dxa"/>
            <w:tcBorders>
              <w:top w:val="nil"/>
              <w:left w:val="nil"/>
              <w:bottom w:val="nil"/>
              <w:right w:val="nil"/>
            </w:tcBorders>
            <w:tcMar>
              <w:top w:w="0" w:type="dxa"/>
              <w:left w:w="53" w:type="dxa"/>
              <w:bottom w:w="0" w:type="dxa"/>
              <w:right w:w="0" w:type="dxa"/>
            </w:tcMar>
            <w:vAlign w:val="bottom"/>
          </w:tcPr>
          <w:p w14:paraId="5C1C61C9" w14:textId="77777777" w:rsidR="00D0338B" w:rsidRDefault="00DB7EA0">
            <w:pPr>
              <w:keepNext/>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47E04F42" w14:textId="77777777" w:rsidR="00D0338B" w:rsidRDefault="00DB7EA0">
            <w:pPr>
              <w:keepNext/>
              <w:spacing w:before="53" w:after="30"/>
              <w:jc w:val="right"/>
            </w:pPr>
            <w:r>
              <w:rPr>
                <w:color w:val="000000"/>
                <w:sz w:val="22"/>
              </w:rPr>
              <w:t>0.38 </w:t>
            </w:r>
          </w:p>
        </w:tc>
        <w:tc>
          <w:tcPr>
            <w:tcW w:w="100" w:type="dxa"/>
            <w:tcBorders>
              <w:top w:val="nil"/>
              <w:left w:val="nil"/>
              <w:bottom w:val="nil"/>
              <w:right w:val="nil"/>
            </w:tcBorders>
            <w:tcMar>
              <w:top w:w="0" w:type="dxa"/>
              <w:left w:w="0" w:type="dxa"/>
              <w:bottom w:w="0" w:type="dxa"/>
              <w:right w:w="15" w:type="dxa"/>
            </w:tcMar>
            <w:vAlign w:val="bottom"/>
          </w:tcPr>
          <w:p w14:paraId="034D7EC2" w14:textId="77777777" w:rsidR="00D0338B" w:rsidRDefault="00D0338B">
            <w:pPr>
              <w:keepNext/>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4F047B8B" w14:textId="77777777" w:rsidR="00D0338B" w:rsidRDefault="00D0338B">
            <w:pPr>
              <w:keepNext/>
            </w:pPr>
          </w:p>
        </w:tc>
        <w:tc>
          <w:tcPr>
            <w:tcW w:w="160" w:type="dxa"/>
            <w:tcBorders>
              <w:top w:val="nil"/>
              <w:left w:val="nil"/>
              <w:bottom w:val="nil"/>
              <w:right w:val="nil"/>
            </w:tcBorders>
            <w:tcMar>
              <w:top w:w="0" w:type="dxa"/>
              <w:left w:w="53" w:type="dxa"/>
              <w:bottom w:w="0" w:type="dxa"/>
              <w:right w:w="0" w:type="dxa"/>
            </w:tcMar>
            <w:vAlign w:val="bottom"/>
          </w:tcPr>
          <w:p w14:paraId="7A045DA2" w14:textId="77777777" w:rsidR="00D0338B" w:rsidRDefault="00DB7EA0">
            <w:pPr>
              <w:keepNext/>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14891467" w14:textId="77777777" w:rsidR="00D0338B" w:rsidRDefault="00DB7EA0">
            <w:pPr>
              <w:keepNext/>
              <w:spacing w:before="53" w:after="30"/>
              <w:jc w:val="right"/>
            </w:pPr>
            <w:r>
              <w:rPr>
                <w:color w:val="000000"/>
                <w:sz w:val="22"/>
              </w:rPr>
              <w:t>0.48 </w:t>
            </w:r>
          </w:p>
        </w:tc>
        <w:tc>
          <w:tcPr>
            <w:tcW w:w="100" w:type="dxa"/>
            <w:tcBorders>
              <w:top w:val="nil"/>
              <w:left w:val="nil"/>
              <w:bottom w:val="nil"/>
              <w:right w:val="nil"/>
            </w:tcBorders>
            <w:tcMar>
              <w:top w:w="0" w:type="dxa"/>
              <w:left w:w="0" w:type="dxa"/>
              <w:bottom w:w="0" w:type="dxa"/>
              <w:right w:w="15" w:type="dxa"/>
            </w:tcMar>
            <w:vAlign w:val="bottom"/>
          </w:tcPr>
          <w:p w14:paraId="69E07354" w14:textId="77777777" w:rsidR="00D0338B" w:rsidRDefault="00D0338B">
            <w:pPr>
              <w:keepNext/>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62B55B65" w14:textId="77777777" w:rsidR="00D0338B" w:rsidRDefault="00D0338B">
            <w:pPr>
              <w:keepNext/>
            </w:pPr>
          </w:p>
        </w:tc>
        <w:tc>
          <w:tcPr>
            <w:tcW w:w="875" w:type="dxa"/>
            <w:tcBorders>
              <w:top w:val="nil"/>
              <w:left w:val="nil"/>
              <w:bottom w:val="nil"/>
              <w:right w:val="nil"/>
            </w:tcBorders>
            <w:tcMar>
              <w:top w:w="0" w:type="dxa"/>
              <w:left w:w="53" w:type="dxa"/>
              <w:bottom w:w="0" w:type="dxa"/>
              <w:right w:w="0" w:type="dxa"/>
            </w:tcMar>
            <w:vAlign w:val="bottom"/>
          </w:tcPr>
          <w:p w14:paraId="62801186" w14:textId="77777777" w:rsidR="00D0338B" w:rsidRDefault="00DB7EA0">
            <w:pPr>
              <w:keepNext/>
              <w:spacing w:before="53" w:after="30"/>
              <w:jc w:val="right"/>
            </w:pPr>
            <w:r>
              <w:rPr>
                <w:color w:val="000000"/>
                <w:sz w:val="22"/>
              </w:rPr>
              <w:t>(21)</w:t>
            </w:r>
          </w:p>
        </w:tc>
        <w:tc>
          <w:tcPr>
            <w:tcW w:w="100" w:type="dxa"/>
            <w:tcBorders>
              <w:top w:val="nil"/>
              <w:left w:val="nil"/>
              <w:bottom w:val="nil"/>
              <w:right w:val="nil"/>
            </w:tcBorders>
            <w:tcMar>
              <w:top w:w="0" w:type="dxa"/>
              <w:left w:w="0" w:type="dxa"/>
              <w:bottom w:w="0" w:type="dxa"/>
              <w:right w:w="15" w:type="dxa"/>
            </w:tcMar>
            <w:vAlign w:val="bottom"/>
          </w:tcPr>
          <w:p w14:paraId="662D27BB" w14:textId="77777777" w:rsidR="00D0338B" w:rsidRDefault="00DB7EA0">
            <w:pPr>
              <w:keepNext/>
              <w:spacing w:before="53" w:after="30"/>
              <w:jc w:val="right"/>
            </w:pPr>
            <w:r>
              <w:rPr>
                <w:color w:val="000000"/>
                <w:sz w:val="22"/>
              </w:rPr>
              <w:t>%</w:t>
            </w:r>
          </w:p>
        </w:tc>
        <w:tc>
          <w:tcPr>
            <w:tcW w:w="105" w:type="dxa"/>
            <w:tcBorders>
              <w:top w:val="nil"/>
              <w:left w:val="nil"/>
              <w:bottom w:val="nil"/>
              <w:right w:val="nil"/>
            </w:tcBorders>
            <w:tcMar>
              <w:top w:w="0" w:type="dxa"/>
              <w:left w:w="0" w:type="dxa"/>
              <w:bottom w:w="0" w:type="dxa"/>
              <w:right w:w="0" w:type="dxa"/>
            </w:tcMar>
            <w:vAlign w:val="bottom"/>
          </w:tcPr>
          <w:p w14:paraId="6D5A19E8" w14:textId="77777777" w:rsidR="00D0338B" w:rsidRDefault="00D0338B">
            <w:pPr>
              <w:keepNext/>
            </w:pPr>
          </w:p>
        </w:tc>
        <w:tc>
          <w:tcPr>
            <w:tcW w:w="160" w:type="dxa"/>
            <w:tcBorders>
              <w:top w:val="nil"/>
              <w:left w:val="nil"/>
              <w:bottom w:val="nil"/>
              <w:right w:val="nil"/>
            </w:tcBorders>
            <w:tcMar>
              <w:top w:w="0" w:type="dxa"/>
              <w:left w:w="53" w:type="dxa"/>
              <w:bottom w:w="0" w:type="dxa"/>
              <w:right w:w="0" w:type="dxa"/>
            </w:tcMar>
            <w:vAlign w:val="bottom"/>
          </w:tcPr>
          <w:p w14:paraId="34A0C57B" w14:textId="77777777" w:rsidR="00D0338B" w:rsidRDefault="00DB7EA0">
            <w:pPr>
              <w:keepNext/>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16C4BE40" w14:textId="77777777" w:rsidR="00D0338B" w:rsidRDefault="00DB7EA0">
            <w:pPr>
              <w:keepNext/>
              <w:spacing w:before="53" w:after="30"/>
              <w:jc w:val="right"/>
            </w:pPr>
            <w:r>
              <w:rPr>
                <w:color w:val="000000"/>
                <w:sz w:val="22"/>
              </w:rPr>
              <w:t>1.91 </w:t>
            </w:r>
          </w:p>
        </w:tc>
        <w:tc>
          <w:tcPr>
            <w:tcW w:w="100" w:type="dxa"/>
            <w:tcBorders>
              <w:top w:val="nil"/>
              <w:left w:val="nil"/>
              <w:bottom w:val="nil"/>
              <w:right w:val="nil"/>
            </w:tcBorders>
            <w:tcMar>
              <w:top w:w="0" w:type="dxa"/>
              <w:left w:w="0" w:type="dxa"/>
              <w:bottom w:w="0" w:type="dxa"/>
              <w:right w:w="15" w:type="dxa"/>
            </w:tcMar>
            <w:vAlign w:val="bottom"/>
          </w:tcPr>
          <w:p w14:paraId="14C36A6E" w14:textId="77777777" w:rsidR="00D0338B" w:rsidRDefault="00D0338B">
            <w:pPr>
              <w:keepNext/>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27D6B4E3" w14:textId="77777777" w:rsidR="00D0338B" w:rsidRDefault="00D0338B">
            <w:pPr>
              <w:keepNext/>
            </w:pPr>
          </w:p>
        </w:tc>
        <w:tc>
          <w:tcPr>
            <w:tcW w:w="160" w:type="dxa"/>
            <w:tcBorders>
              <w:top w:val="nil"/>
              <w:left w:val="nil"/>
              <w:bottom w:val="nil"/>
              <w:right w:val="nil"/>
            </w:tcBorders>
            <w:tcMar>
              <w:top w:w="0" w:type="dxa"/>
              <w:left w:w="53" w:type="dxa"/>
              <w:bottom w:w="0" w:type="dxa"/>
              <w:right w:w="0" w:type="dxa"/>
            </w:tcMar>
            <w:vAlign w:val="bottom"/>
          </w:tcPr>
          <w:p w14:paraId="72E62168" w14:textId="77777777" w:rsidR="00D0338B" w:rsidRDefault="00DB7EA0">
            <w:pPr>
              <w:keepNext/>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019C94C9" w14:textId="77777777" w:rsidR="00D0338B" w:rsidRDefault="00DB7EA0">
            <w:pPr>
              <w:keepNext/>
              <w:spacing w:before="53" w:after="30"/>
              <w:jc w:val="right"/>
            </w:pPr>
            <w:r>
              <w:rPr>
                <w:color w:val="000000"/>
                <w:sz w:val="22"/>
              </w:rPr>
              <w:t>2.37 </w:t>
            </w:r>
          </w:p>
        </w:tc>
        <w:tc>
          <w:tcPr>
            <w:tcW w:w="100" w:type="dxa"/>
            <w:tcBorders>
              <w:top w:val="nil"/>
              <w:left w:val="nil"/>
              <w:bottom w:val="nil"/>
              <w:right w:val="nil"/>
            </w:tcBorders>
            <w:tcMar>
              <w:top w:w="0" w:type="dxa"/>
              <w:left w:w="0" w:type="dxa"/>
              <w:bottom w:w="0" w:type="dxa"/>
              <w:right w:w="15" w:type="dxa"/>
            </w:tcMar>
            <w:vAlign w:val="bottom"/>
          </w:tcPr>
          <w:p w14:paraId="6F049C30" w14:textId="77777777" w:rsidR="00D0338B" w:rsidRDefault="00D0338B">
            <w:pPr>
              <w:keepNext/>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1EE8CDFC" w14:textId="77777777" w:rsidR="00D0338B" w:rsidRDefault="00D0338B">
            <w:pPr>
              <w:keepNext/>
            </w:pPr>
          </w:p>
        </w:tc>
        <w:tc>
          <w:tcPr>
            <w:tcW w:w="875" w:type="dxa"/>
            <w:tcBorders>
              <w:top w:val="nil"/>
              <w:left w:val="nil"/>
              <w:bottom w:val="nil"/>
              <w:right w:val="nil"/>
            </w:tcBorders>
            <w:tcMar>
              <w:top w:w="0" w:type="dxa"/>
              <w:left w:w="53" w:type="dxa"/>
              <w:bottom w:w="0" w:type="dxa"/>
              <w:right w:w="0" w:type="dxa"/>
            </w:tcMar>
            <w:vAlign w:val="bottom"/>
          </w:tcPr>
          <w:p w14:paraId="6432F4D1" w14:textId="77777777" w:rsidR="00D0338B" w:rsidRDefault="00DB7EA0">
            <w:pPr>
              <w:keepNext/>
              <w:spacing w:before="53" w:after="30"/>
              <w:jc w:val="right"/>
            </w:pPr>
            <w:r>
              <w:rPr>
                <w:color w:val="000000"/>
                <w:sz w:val="22"/>
              </w:rPr>
              <w:t>(19)</w:t>
            </w:r>
          </w:p>
        </w:tc>
        <w:tc>
          <w:tcPr>
            <w:tcW w:w="100" w:type="dxa"/>
            <w:tcBorders>
              <w:top w:val="nil"/>
              <w:left w:val="nil"/>
              <w:bottom w:val="nil"/>
              <w:right w:val="nil"/>
            </w:tcBorders>
            <w:tcMar>
              <w:top w:w="0" w:type="dxa"/>
              <w:left w:w="0" w:type="dxa"/>
              <w:bottom w:w="0" w:type="dxa"/>
              <w:right w:w="15" w:type="dxa"/>
            </w:tcMar>
            <w:vAlign w:val="bottom"/>
          </w:tcPr>
          <w:p w14:paraId="11E6DF94" w14:textId="77777777" w:rsidR="00D0338B" w:rsidRDefault="00DB7EA0">
            <w:pPr>
              <w:keepNext/>
              <w:spacing w:before="53" w:after="30"/>
              <w:jc w:val="right"/>
            </w:pPr>
            <w:r>
              <w:rPr>
                <w:color w:val="000000"/>
                <w:sz w:val="22"/>
              </w:rPr>
              <w:t>%</w:t>
            </w:r>
          </w:p>
        </w:tc>
      </w:tr>
      <w:tr w:rsidR="00D0338B" w14:paraId="36B56306" w14:textId="77777777">
        <w:trPr>
          <w:cantSplit/>
          <w:trHeight w:hRule="exact" w:val="300"/>
          <w:jc w:val="center"/>
        </w:trPr>
        <w:tc>
          <w:tcPr>
            <w:tcW w:w="4140" w:type="dxa"/>
            <w:tcBorders>
              <w:top w:val="nil"/>
              <w:left w:val="nil"/>
              <w:bottom w:val="nil"/>
              <w:right w:val="nil"/>
            </w:tcBorders>
            <w:tcMar>
              <w:top w:w="0" w:type="dxa"/>
              <w:left w:w="0" w:type="dxa"/>
              <w:bottom w:w="0" w:type="dxa"/>
              <w:right w:w="0" w:type="dxa"/>
            </w:tcMar>
            <w:vAlign w:val="bottom"/>
          </w:tcPr>
          <w:p w14:paraId="06B6A8B3" w14:textId="77777777" w:rsidR="00D0338B" w:rsidRDefault="00D0338B">
            <w:pPr>
              <w:keepNext/>
            </w:pPr>
          </w:p>
        </w:tc>
        <w:tc>
          <w:tcPr>
            <w:tcW w:w="975" w:type="dxa"/>
            <w:gridSpan w:val="3"/>
            <w:tcBorders>
              <w:top w:val="nil"/>
              <w:left w:val="nil"/>
              <w:bottom w:val="nil"/>
              <w:right w:val="nil"/>
            </w:tcBorders>
            <w:tcMar>
              <w:top w:w="0" w:type="dxa"/>
              <w:left w:w="0" w:type="dxa"/>
              <w:bottom w:w="0" w:type="dxa"/>
              <w:right w:w="0" w:type="dxa"/>
            </w:tcMar>
            <w:vAlign w:val="bottom"/>
          </w:tcPr>
          <w:p w14:paraId="28728537"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4C6D4C92" w14:textId="77777777" w:rsidR="00D0338B" w:rsidRDefault="00D0338B">
            <w:pPr>
              <w:keepNext/>
            </w:pPr>
          </w:p>
        </w:tc>
        <w:tc>
          <w:tcPr>
            <w:tcW w:w="975" w:type="dxa"/>
            <w:gridSpan w:val="3"/>
            <w:tcBorders>
              <w:top w:val="nil"/>
              <w:left w:val="nil"/>
              <w:bottom w:val="nil"/>
              <w:right w:val="nil"/>
            </w:tcBorders>
            <w:tcMar>
              <w:top w:w="0" w:type="dxa"/>
              <w:left w:w="0" w:type="dxa"/>
              <w:bottom w:w="0" w:type="dxa"/>
              <w:right w:w="0" w:type="dxa"/>
            </w:tcMar>
            <w:vAlign w:val="bottom"/>
          </w:tcPr>
          <w:p w14:paraId="181F62B8"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71AF2FB" w14:textId="77777777" w:rsidR="00D0338B" w:rsidRDefault="00D0338B">
            <w:pPr>
              <w:keepNext/>
            </w:pPr>
          </w:p>
        </w:tc>
        <w:tc>
          <w:tcPr>
            <w:tcW w:w="975" w:type="dxa"/>
            <w:gridSpan w:val="2"/>
            <w:tcBorders>
              <w:top w:val="nil"/>
              <w:left w:val="nil"/>
              <w:bottom w:val="nil"/>
              <w:right w:val="nil"/>
            </w:tcBorders>
            <w:tcMar>
              <w:top w:w="0" w:type="dxa"/>
              <w:left w:w="0" w:type="dxa"/>
              <w:bottom w:w="0" w:type="dxa"/>
              <w:right w:w="0" w:type="dxa"/>
            </w:tcMar>
            <w:vAlign w:val="bottom"/>
          </w:tcPr>
          <w:p w14:paraId="2FE83B43" w14:textId="77777777" w:rsidR="00D0338B" w:rsidRDefault="00D0338B">
            <w:pPr>
              <w:keepNext/>
            </w:pPr>
          </w:p>
        </w:tc>
        <w:tc>
          <w:tcPr>
            <w:tcW w:w="105" w:type="dxa"/>
            <w:tcBorders>
              <w:top w:val="nil"/>
              <w:left w:val="nil"/>
              <w:bottom w:val="nil"/>
              <w:right w:val="nil"/>
            </w:tcBorders>
            <w:tcMar>
              <w:top w:w="0" w:type="dxa"/>
              <w:left w:w="0" w:type="dxa"/>
              <w:bottom w:w="0" w:type="dxa"/>
              <w:right w:w="0" w:type="dxa"/>
            </w:tcMar>
            <w:vAlign w:val="bottom"/>
          </w:tcPr>
          <w:p w14:paraId="7B363607" w14:textId="77777777" w:rsidR="00D0338B" w:rsidRDefault="00D0338B">
            <w:pPr>
              <w:keepNext/>
            </w:pPr>
          </w:p>
        </w:tc>
        <w:tc>
          <w:tcPr>
            <w:tcW w:w="975" w:type="dxa"/>
            <w:gridSpan w:val="3"/>
            <w:tcBorders>
              <w:top w:val="nil"/>
              <w:left w:val="nil"/>
              <w:bottom w:val="nil"/>
              <w:right w:val="nil"/>
            </w:tcBorders>
            <w:tcMar>
              <w:top w:w="0" w:type="dxa"/>
              <w:left w:w="0" w:type="dxa"/>
              <w:bottom w:w="0" w:type="dxa"/>
              <w:right w:w="0" w:type="dxa"/>
            </w:tcMar>
            <w:vAlign w:val="bottom"/>
          </w:tcPr>
          <w:p w14:paraId="69C3AFB0"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337EA9A" w14:textId="77777777" w:rsidR="00D0338B" w:rsidRDefault="00D0338B">
            <w:pPr>
              <w:keepNext/>
            </w:pPr>
          </w:p>
        </w:tc>
        <w:tc>
          <w:tcPr>
            <w:tcW w:w="975" w:type="dxa"/>
            <w:gridSpan w:val="3"/>
            <w:tcBorders>
              <w:top w:val="nil"/>
              <w:left w:val="nil"/>
              <w:bottom w:val="nil"/>
              <w:right w:val="nil"/>
            </w:tcBorders>
            <w:tcMar>
              <w:top w:w="0" w:type="dxa"/>
              <w:left w:w="0" w:type="dxa"/>
              <w:bottom w:w="0" w:type="dxa"/>
              <w:right w:w="0" w:type="dxa"/>
            </w:tcMar>
            <w:vAlign w:val="bottom"/>
          </w:tcPr>
          <w:p w14:paraId="632FCC7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BC4E09B" w14:textId="77777777" w:rsidR="00D0338B" w:rsidRDefault="00D0338B">
            <w:pPr>
              <w:keepNext/>
            </w:pPr>
          </w:p>
        </w:tc>
        <w:tc>
          <w:tcPr>
            <w:tcW w:w="975" w:type="dxa"/>
            <w:gridSpan w:val="2"/>
            <w:tcBorders>
              <w:top w:val="nil"/>
              <w:left w:val="nil"/>
              <w:bottom w:val="nil"/>
              <w:right w:val="nil"/>
            </w:tcBorders>
            <w:tcMar>
              <w:top w:w="0" w:type="dxa"/>
              <w:left w:w="0" w:type="dxa"/>
              <w:bottom w:w="0" w:type="dxa"/>
              <w:right w:w="0" w:type="dxa"/>
            </w:tcMar>
            <w:vAlign w:val="bottom"/>
          </w:tcPr>
          <w:p w14:paraId="0AE96431" w14:textId="77777777" w:rsidR="00D0338B" w:rsidRDefault="00D0338B">
            <w:pPr>
              <w:keepNext/>
            </w:pPr>
          </w:p>
        </w:tc>
      </w:tr>
      <w:tr w:rsidR="00D0338B" w14:paraId="22785F0F" w14:textId="77777777">
        <w:trPr>
          <w:cantSplit/>
          <w:trHeight w:hRule="exact" w:val="300"/>
          <w:jc w:val="center"/>
        </w:trPr>
        <w:tc>
          <w:tcPr>
            <w:tcW w:w="4140" w:type="dxa"/>
            <w:tcBorders>
              <w:top w:val="nil"/>
              <w:left w:val="nil"/>
              <w:bottom w:val="nil"/>
              <w:right w:val="nil"/>
            </w:tcBorders>
            <w:tcMar>
              <w:top w:w="0" w:type="dxa"/>
              <w:left w:w="0" w:type="dxa"/>
              <w:bottom w:w="0" w:type="dxa"/>
              <w:right w:w="0" w:type="dxa"/>
            </w:tcMar>
            <w:vAlign w:val="bottom"/>
          </w:tcPr>
          <w:p w14:paraId="67A4B1FF" w14:textId="77777777" w:rsidR="00D0338B" w:rsidRDefault="00D0338B">
            <w:pPr>
              <w:keepNext/>
            </w:pPr>
          </w:p>
        </w:tc>
        <w:tc>
          <w:tcPr>
            <w:tcW w:w="3075" w:type="dxa"/>
            <w:gridSpan w:val="10"/>
            <w:tcBorders>
              <w:top w:val="nil"/>
              <w:left w:val="nil"/>
              <w:bottom w:val="single" w:sz="8" w:space="0" w:color="000000"/>
              <w:right w:val="nil"/>
            </w:tcBorders>
            <w:tcMar>
              <w:top w:w="0" w:type="dxa"/>
              <w:left w:w="53" w:type="dxa"/>
              <w:bottom w:w="0" w:type="dxa"/>
              <w:right w:w="53" w:type="dxa"/>
            </w:tcMar>
            <w:vAlign w:val="bottom"/>
          </w:tcPr>
          <w:p w14:paraId="344D7527" w14:textId="77777777" w:rsidR="00D0338B" w:rsidRDefault="00DB7EA0">
            <w:pPr>
              <w:keepNext/>
              <w:spacing w:before="53" w:after="30"/>
              <w:jc w:val="center"/>
            </w:pPr>
            <w:r>
              <w:rPr>
                <w:b/>
                <w:color w:val="000000"/>
                <w:sz w:val="22"/>
              </w:rPr>
              <w:t>4th Quarter</w:t>
            </w:r>
          </w:p>
        </w:tc>
        <w:tc>
          <w:tcPr>
            <w:tcW w:w="105" w:type="dxa"/>
            <w:tcBorders>
              <w:top w:val="nil"/>
              <w:left w:val="nil"/>
              <w:bottom w:val="nil"/>
              <w:right w:val="nil"/>
            </w:tcBorders>
            <w:tcMar>
              <w:top w:w="0" w:type="dxa"/>
              <w:left w:w="0" w:type="dxa"/>
              <w:bottom w:w="0" w:type="dxa"/>
              <w:right w:w="0" w:type="dxa"/>
            </w:tcMar>
            <w:vAlign w:val="bottom"/>
          </w:tcPr>
          <w:p w14:paraId="1A943A21" w14:textId="77777777" w:rsidR="00D0338B" w:rsidRDefault="00D0338B">
            <w:pPr>
              <w:keepNext/>
            </w:pPr>
          </w:p>
        </w:tc>
        <w:tc>
          <w:tcPr>
            <w:tcW w:w="3075" w:type="dxa"/>
            <w:gridSpan w:val="10"/>
            <w:tcBorders>
              <w:top w:val="nil"/>
              <w:left w:val="nil"/>
              <w:bottom w:val="single" w:sz="8" w:space="0" w:color="000000"/>
              <w:right w:val="nil"/>
            </w:tcBorders>
            <w:tcMar>
              <w:top w:w="0" w:type="dxa"/>
              <w:left w:w="53" w:type="dxa"/>
              <w:bottom w:w="0" w:type="dxa"/>
              <w:right w:w="53" w:type="dxa"/>
            </w:tcMar>
            <w:vAlign w:val="bottom"/>
          </w:tcPr>
          <w:p w14:paraId="4386B91D" w14:textId="77777777" w:rsidR="00D0338B" w:rsidRDefault="00DB7EA0">
            <w:pPr>
              <w:keepNext/>
              <w:spacing w:before="53" w:after="30"/>
              <w:jc w:val="center"/>
            </w:pPr>
            <w:r>
              <w:rPr>
                <w:b/>
                <w:color w:val="000000"/>
                <w:sz w:val="22"/>
              </w:rPr>
              <w:t>Year</w:t>
            </w:r>
          </w:p>
        </w:tc>
      </w:tr>
      <w:tr w:rsidR="00D0338B" w14:paraId="7DBCF271" w14:textId="77777777">
        <w:trPr>
          <w:cantSplit/>
          <w:trHeight w:hRule="exact" w:val="300"/>
          <w:jc w:val="center"/>
        </w:trPr>
        <w:tc>
          <w:tcPr>
            <w:tcW w:w="4140" w:type="dxa"/>
            <w:tcBorders>
              <w:top w:val="nil"/>
              <w:left w:val="nil"/>
              <w:bottom w:val="nil"/>
              <w:right w:val="nil"/>
            </w:tcBorders>
            <w:tcMar>
              <w:top w:w="0" w:type="dxa"/>
              <w:left w:w="0" w:type="dxa"/>
              <w:bottom w:w="0" w:type="dxa"/>
              <w:right w:w="0" w:type="dxa"/>
            </w:tcMar>
            <w:vAlign w:val="bottom"/>
          </w:tcPr>
          <w:p w14:paraId="7EE38DE6" w14:textId="77777777" w:rsidR="00D0338B" w:rsidRDefault="00D0338B">
            <w:pPr>
              <w:keepNext/>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14:paraId="7AC7AD62" w14:textId="77777777" w:rsidR="00D0338B" w:rsidRDefault="00DB7EA0">
            <w:pPr>
              <w:keepNext/>
              <w:spacing w:before="33" w:after="30"/>
              <w:jc w:val="center"/>
            </w:pPr>
            <w:r>
              <w:rPr>
                <w:b/>
                <w:color w:val="000000"/>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9537A1E" w14:textId="77777777" w:rsidR="00D0338B" w:rsidRDefault="00D0338B">
            <w:pPr>
              <w:keepNext/>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280B1EE" w14:textId="77777777" w:rsidR="00D0338B" w:rsidRDefault="00DB7EA0">
            <w:pPr>
              <w:keepNext/>
              <w:spacing w:before="33" w:after="30"/>
              <w:jc w:val="center"/>
            </w:pPr>
            <w:r>
              <w:rPr>
                <w:b/>
                <w:color w:val="000000"/>
                <w:sz w:val="22"/>
              </w:rPr>
              <w:t>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E36D9EB" w14:textId="77777777" w:rsidR="00D0338B" w:rsidRDefault="00D0338B">
            <w:pPr>
              <w:keepNext/>
            </w:pPr>
          </w:p>
        </w:tc>
        <w:tc>
          <w:tcPr>
            <w:tcW w:w="97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2952D9EC" w14:textId="77777777" w:rsidR="00D0338B" w:rsidRDefault="00DB7EA0">
            <w:pPr>
              <w:keepNext/>
              <w:spacing w:before="33" w:after="30"/>
              <w:jc w:val="center"/>
            </w:pPr>
            <w:r>
              <w:rPr>
                <w:b/>
                <w:color w:val="000000"/>
                <w:sz w:val="22"/>
              </w:rPr>
              <w:t>Change</w:t>
            </w:r>
          </w:p>
        </w:tc>
        <w:tc>
          <w:tcPr>
            <w:tcW w:w="105" w:type="dxa"/>
            <w:tcBorders>
              <w:top w:val="nil"/>
              <w:left w:val="nil"/>
              <w:bottom w:val="nil"/>
              <w:right w:val="nil"/>
            </w:tcBorders>
            <w:tcMar>
              <w:top w:w="0" w:type="dxa"/>
              <w:left w:w="0" w:type="dxa"/>
              <w:bottom w:w="0" w:type="dxa"/>
              <w:right w:w="0" w:type="dxa"/>
            </w:tcMar>
            <w:vAlign w:val="bottom"/>
          </w:tcPr>
          <w:p w14:paraId="6A7F0C7F" w14:textId="77777777" w:rsidR="00D0338B" w:rsidRDefault="00D0338B">
            <w:pPr>
              <w:keepNext/>
            </w:pPr>
          </w:p>
        </w:tc>
        <w:tc>
          <w:tcPr>
            <w:tcW w:w="975" w:type="dxa"/>
            <w:gridSpan w:val="3"/>
            <w:tcBorders>
              <w:top w:val="nil"/>
              <w:left w:val="nil"/>
              <w:bottom w:val="single" w:sz="8" w:space="0" w:color="000000"/>
              <w:right w:val="nil"/>
            </w:tcBorders>
            <w:tcMar>
              <w:top w:w="0" w:type="dxa"/>
              <w:left w:w="53" w:type="dxa"/>
              <w:bottom w:w="0" w:type="dxa"/>
              <w:right w:w="53" w:type="dxa"/>
            </w:tcMar>
            <w:vAlign w:val="bottom"/>
          </w:tcPr>
          <w:p w14:paraId="270F5535" w14:textId="77777777" w:rsidR="00D0338B" w:rsidRDefault="00DB7EA0">
            <w:pPr>
              <w:keepNext/>
              <w:spacing w:before="33" w:after="30"/>
              <w:jc w:val="center"/>
            </w:pPr>
            <w:r>
              <w:rPr>
                <w:b/>
                <w:color w:val="000000"/>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2448967" w14:textId="77777777" w:rsidR="00D0338B" w:rsidRDefault="00D0338B">
            <w:pPr>
              <w:keepNext/>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A580244" w14:textId="77777777" w:rsidR="00D0338B" w:rsidRDefault="00DB7EA0">
            <w:pPr>
              <w:keepNext/>
              <w:spacing w:before="33" w:after="30"/>
              <w:jc w:val="center"/>
            </w:pPr>
            <w:r>
              <w:rPr>
                <w:b/>
                <w:color w:val="000000"/>
                <w:sz w:val="22"/>
              </w:rPr>
              <w:t>2019</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D5BE057" w14:textId="77777777" w:rsidR="00D0338B" w:rsidRDefault="00D0338B">
            <w:pPr>
              <w:keepNext/>
            </w:pPr>
          </w:p>
        </w:tc>
        <w:tc>
          <w:tcPr>
            <w:tcW w:w="97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58BA4A30" w14:textId="77777777" w:rsidR="00D0338B" w:rsidRDefault="00DB7EA0">
            <w:pPr>
              <w:keepNext/>
              <w:spacing w:before="33" w:after="30"/>
              <w:jc w:val="center"/>
            </w:pPr>
            <w:r>
              <w:rPr>
                <w:b/>
                <w:color w:val="000000"/>
                <w:sz w:val="22"/>
              </w:rPr>
              <w:t>Change</w:t>
            </w:r>
          </w:p>
        </w:tc>
      </w:tr>
      <w:tr w:rsidR="00D0338B" w14:paraId="3BEE438C" w14:textId="77777777">
        <w:trPr>
          <w:cantSplit/>
          <w:trHeight w:hRule="exact" w:val="315"/>
          <w:jc w:val="center"/>
        </w:trPr>
        <w:tc>
          <w:tcPr>
            <w:tcW w:w="4140" w:type="dxa"/>
            <w:tcBorders>
              <w:top w:val="nil"/>
              <w:left w:val="nil"/>
              <w:bottom w:val="nil"/>
              <w:right w:val="nil"/>
            </w:tcBorders>
            <w:shd w:val="clear" w:color="auto" w:fill="CCEEFF"/>
            <w:tcMar>
              <w:top w:w="0" w:type="dxa"/>
              <w:left w:w="53" w:type="dxa"/>
              <w:bottom w:w="0" w:type="dxa"/>
              <w:right w:w="53" w:type="dxa"/>
            </w:tcMar>
            <w:vAlign w:val="bottom"/>
          </w:tcPr>
          <w:p w14:paraId="54ADE58A" w14:textId="77777777" w:rsidR="00D0338B" w:rsidRDefault="00DB7EA0">
            <w:pPr>
              <w:keepNext/>
              <w:spacing w:before="53" w:after="30"/>
            </w:pPr>
            <w:r>
              <w:rPr>
                <w:color w:val="000000"/>
                <w:sz w:val="22"/>
              </w:rPr>
              <w:t>Earnings from ongoing operations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E4BCF27"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56D3DA" w14:textId="77777777" w:rsidR="00D0338B" w:rsidRDefault="00DB7EA0">
            <w:pPr>
              <w:keepNext/>
              <w:spacing w:before="33" w:after="30"/>
              <w:jc w:val="right"/>
            </w:pPr>
            <w:r>
              <w:rPr>
                <w:color w:val="000000"/>
                <w:sz w:val="22"/>
              </w:rPr>
              <w:t>456 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0A0D03"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A21C7B"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12B8636"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DC86BD4" w14:textId="77777777" w:rsidR="00D0338B" w:rsidRDefault="00DB7EA0">
            <w:pPr>
              <w:keepNext/>
              <w:spacing w:before="33" w:after="30"/>
              <w:jc w:val="right"/>
            </w:pPr>
            <w:r>
              <w:rPr>
                <w:color w:val="000000"/>
                <w:sz w:val="22"/>
              </w:rPr>
              <w:t>431 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CDD964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DB2DB0" w14:textId="77777777" w:rsidR="00D0338B" w:rsidRDefault="00D0338B">
            <w:pPr>
              <w:keepNext/>
            </w:pPr>
          </w:p>
        </w:tc>
        <w:tc>
          <w:tcPr>
            <w:tcW w:w="8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2747123" w14:textId="77777777" w:rsidR="00D0338B" w:rsidRDefault="00DB7EA0">
            <w:pPr>
              <w:keepNext/>
              <w:spacing w:before="33" w:after="30"/>
              <w:jc w:val="right"/>
            </w:pPr>
            <w:r>
              <w:rPr>
                <w:color w:val="000000"/>
                <w:sz w:val="22"/>
              </w:rPr>
              <w:t>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8250809" w14:textId="77777777" w:rsidR="00D0338B" w:rsidRDefault="00DB7EA0">
            <w:pPr>
              <w:keepNext/>
              <w:spacing w:before="33" w:after="30"/>
              <w:jc w:val="right"/>
            </w:pPr>
            <w:r>
              <w:rPr>
                <w:color w:val="000000"/>
                <w:sz w:val="22"/>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FB1FD36"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A4BE672"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CD4777B" w14:textId="77777777" w:rsidR="00D0338B" w:rsidRDefault="00DB7EA0">
            <w:pPr>
              <w:keepNext/>
              <w:spacing w:before="33" w:after="30"/>
              <w:jc w:val="right"/>
            </w:pPr>
            <w:r>
              <w:rPr>
                <w:color w:val="000000"/>
                <w:sz w:val="22"/>
              </w:rPr>
              <w:t>1,847 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DF8A23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750854"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2CD5641" w14:textId="77777777" w:rsidR="00D0338B" w:rsidRDefault="00DB7EA0">
            <w:pPr>
              <w:keepNext/>
              <w:spacing w:before="33" w:after="30"/>
            </w:pPr>
            <w:r>
              <w:rPr>
                <w:color w:val="000000"/>
                <w:sz w:val="22"/>
              </w:rPr>
              <w:t>$</w:t>
            </w:r>
          </w:p>
        </w:tc>
        <w:tc>
          <w:tcPr>
            <w:tcW w:w="7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A72F05A" w14:textId="77777777" w:rsidR="00D0338B" w:rsidRDefault="00DB7EA0">
            <w:pPr>
              <w:keepNext/>
              <w:spacing w:before="33" w:after="30"/>
              <w:jc w:val="right"/>
            </w:pPr>
            <w:r>
              <w:rPr>
                <w:color w:val="000000"/>
                <w:sz w:val="22"/>
              </w:rPr>
              <w:t>1,806 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67B868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E50771" w14:textId="77777777" w:rsidR="00D0338B" w:rsidRDefault="00D0338B">
            <w:pPr>
              <w:keepNext/>
            </w:pPr>
          </w:p>
        </w:tc>
        <w:tc>
          <w:tcPr>
            <w:tcW w:w="8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C5B5370" w14:textId="77777777" w:rsidR="00D0338B" w:rsidRDefault="00DB7EA0">
            <w:pPr>
              <w:keepNext/>
              <w:spacing w:before="33" w:after="30"/>
              <w:jc w:val="right"/>
            </w:pPr>
            <w:r>
              <w:rPr>
                <w:color w:val="000000"/>
                <w:sz w:val="22"/>
              </w:rPr>
              <w:t>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69CE447" w14:textId="77777777" w:rsidR="00D0338B" w:rsidRDefault="00DB7EA0">
            <w:pPr>
              <w:keepNext/>
              <w:spacing w:before="33" w:after="30"/>
              <w:jc w:val="right"/>
            </w:pPr>
            <w:r>
              <w:rPr>
                <w:color w:val="000000"/>
                <w:sz w:val="22"/>
              </w:rPr>
              <w:t>%</w:t>
            </w:r>
          </w:p>
        </w:tc>
      </w:tr>
      <w:tr w:rsidR="00D0338B" w14:paraId="6F171260" w14:textId="77777777">
        <w:trPr>
          <w:cantSplit/>
          <w:trHeight w:hRule="exact" w:val="315"/>
          <w:jc w:val="center"/>
        </w:trPr>
        <w:tc>
          <w:tcPr>
            <w:tcW w:w="4140" w:type="dxa"/>
            <w:tcBorders>
              <w:top w:val="nil"/>
              <w:left w:val="nil"/>
              <w:bottom w:val="nil"/>
              <w:right w:val="nil"/>
            </w:tcBorders>
            <w:tcMar>
              <w:top w:w="0" w:type="dxa"/>
              <w:left w:w="53" w:type="dxa"/>
              <w:bottom w:w="0" w:type="dxa"/>
              <w:right w:w="53" w:type="dxa"/>
            </w:tcMar>
            <w:vAlign w:val="bottom"/>
          </w:tcPr>
          <w:p w14:paraId="3EA21DD6" w14:textId="77777777" w:rsidR="00D0338B" w:rsidRDefault="00DB7EA0">
            <w:pPr>
              <w:spacing w:before="53" w:after="30"/>
            </w:pPr>
            <w:r>
              <w:rPr>
                <w:color w:val="000000"/>
                <w:sz w:val="22"/>
              </w:rPr>
              <w:t>Earnings from ongoing operations per share</w:t>
            </w:r>
          </w:p>
        </w:tc>
        <w:tc>
          <w:tcPr>
            <w:tcW w:w="160" w:type="dxa"/>
            <w:tcBorders>
              <w:top w:val="nil"/>
              <w:left w:val="nil"/>
              <w:bottom w:val="nil"/>
              <w:right w:val="nil"/>
            </w:tcBorders>
            <w:tcMar>
              <w:top w:w="0" w:type="dxa"/>
              <w:left w:w="53" w:type="dxa"/>
              <w:bottom w:w="0" w:type="dxa"/>
              <w:right w:w="0" w:type="dxa"/>
            </w:tcMar>
            <w:vAlign w:val="bottom"/>
          </w:tcPr>
          <w:p w14:paraId="6C5F7B9F" w14:textId="77777777" w:rsidR="00D0338B" w:rsidRDefault="00DB7EA0">
            <w:pPr>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26167DA5" w14:textId="77777777" w:rsidR="00D0338B" w:rsidRDefault="00DB7EA0">
            <w:pPr>
              <w:spacing w:before="53" w:after="30"/>
              <w:jc w:val="right"/>
            </w:pPr>
            <w:r>
              <w:rPr>
                <w:color w:val="000000"/>
                <w:sz w:val="22"/>
              </w:rPr>
              <w:t>0.59 </w:t>
            </w:r>
          </w:p>
        </w:tc>
        <w:tc>
          <w:tcPr>
            <w:tcW w:w="100" w:type="dxa"/>
            <w:tcBorders>
              <w:top w:val="nil"/>
              <w:left w:val="nil"/>
              <w:bottom w:val="nil"/>
              <w:right w:val="nil"/>
            </w:tcBorders>
            <w:tcMar>
              <w:top w:w="0" w:type="dxa"/>
              <w:left w:w="0" w:type="dxa"/>
              <w:bottom w:w="0" w:type="dxa"/>
              <w:right w:w="15" w:type="dxa"/>
            </w:tcMar>
            <w:vAlign w:val="bottom"/>
          </w:tcPr>
          <w:p w14:paraId="47DEF896" w14:textId="77777777" w:rsidR="00D0338B" w:rsidRDefault="00D0338B">
            <w:pPr>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4FF35D92" w14:textId="77777777" w:rsidR="00D0338B" w:rsidRDefault="00D0338B"/>
        </w:tc>
        <w:tc>
          <w:tcPr>
            <w:tcW w:w="160" w:type="dxa"/>
            <w:tcBorders>
              <w:top w:val="nil"/>
              <w:left w:val="nil"/>
              <w:bottom w:val="nil"/>
              <w:right w:val="nil"/>
            </w:tcBorders>
            <w:tcMar>
              <w:top w:w="0" w:type="dxa"/>
              <w:left w:w="53" w:type="dxa"/>
              <w:bottom w:w="0" w:type="dxa"/>
              <w:right w:w="0" w:type="dxa"/>
            </w:tcMar>
            <w:vAlign w:val="bottom"/>
          </w:tcPr>
          <w:p w14:paraId="46598407" w14:textId="77777777" w:rsidR="00D0338B" w:rsidRDefault="00DB7EA0">
            <w:pPr>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732AE026" w14:textId="77777777" w:rsidR="00D0338B" w:rsidRDefault="00DB7EA0">
            <w:pPr>
              <w:spacing w:before="53" w:after="30"/>
              <w:jc w:val="right"/>
            </w:pPr>
            <w:r>
              <w:rPr>
                <w:color w:val="000000"/>
                <w:sz w:val="22"/>
              </w:rPr>
              <w:t>0.57 </w:t>
            </w:r>
          </w:p>
        </w:tc>
        <w:tc>
          <w:tcPr>
            <w:tcW w:w="100" w:type="dxa"/>
            <w:tcBorders>
              <w:top w:val="nil"/>
              <w:left w:val="nil"/>
              <w:bottom w:val="nil"/>
              <w:right w:val="nil"/>
            </w:tcBorders>
            <w:tcMar>
              <w:top w:w="0" w:type="dxa"/>
              <w:left w:w="0" w:type="dxa"/>
              <w:bottom w:w="0" w:type="dxa"/>
              <w:right w:w="15" w:type="dxa"/>
            </w:tcMar>
            <w:vAlign w:val="bottom"/>
          </w:tcPr>
          <w:p w14:paraId="4EE60951" w14:textId="77777777" w:rsidR="00D0338B" w:rsidRDefault="00D0338B">
            <w:pPr>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6A003779" w14:textId="77777777" w:rsidR="00D0338B" w:rsidRDefault="00D0338B"/>
        </w:tc>
        <w:tc>
          <w:tcPr>
            <w:tcW w:w="875" w:type="dxa"/>
            <w:tcBorders>
              <w:top w:val="nil"/>
              <w:left w:val="nil"/>
              <w:bottom w:val="nil"/>
              <w:right w:val="nil"/>
            </w:tcBorders>
            <w:tcMar>
              <w:top w:w="0" w:type="dxa"/>
              <w:left w:w="53" w:type="dxa"/>
              <w:bottom w:w="0" w:type="dxa"/>
              <w:right w:w="0" w:type="dxa"/>
            </w:tcMar>
            <w:vAlign w:val="bottom"/>
          </w:tcPr>
          <w:p w14:paraId="255D0F00" w14:textId="77777777" w:rsidR="00D0338B" w:rsidRDefault="00DB7EA0">
            <w:pPr>
              <w:spacing w:before="53" w:after="30"/>
              <w:jc w:val="right"/>
            </w:pPr>
            <w:r>
              <w:rPr>
                <w:color w:val="000000"/>
                <w:sz w:val="22"/>
              </w:rPr>
              <w:t>4 </w:t>
            </w:r>
          </w:p>
        </w:tc>
        <w:tc>
          <w:tcPr>
            <w:tcW w:w="100" w:type="dxa"/>
            <w:tcBorders>
              <w:top w:val="nil"/>
              <w:left w:val="nil"/>
              <w:bottom w:val="nil"/>
              <w:right w:val="nil"/>
            </w:tcBorders>
            <w:tcMar>
              <w:top w:w="0" w:type="dxa"/>
              <w:left w:w="0" w:type="dxa"/>
              <w:bottom w:w="0" w:type="dxa"/>
              <w:right w:w="15" w:type="dxa"/>
            </w:tcMar>
            <w:vAlign w:val="bottom"/>
          </w:tcPr>
          <w:p w14:paraId="7E153801" w14:textId="77777777" w:rsidR="00D0338B" w:rsidRDefault="00DB7EA0">
            <w:pPr>
              <w:spacing w:before="53" w:after="30"/>
              <w:jc w:val="right"/>
            </w:pPr>
            <w:r>
              <w:rPr>
                <w:color w:val="000000"/>
                <w:sz w:val="22"/>
              </w:rPr>
              <w:t>%</w:t>
            </w:r>
          </w:p>
        </w:tc>
        <w:tc>
          <w:tcPr>
            <w:tcW w:w="105" w:type="dxa"/>
            <w:tcBorders>
              <w:top w:val="nil"/>
              <w:left w:val="nil"/>
              <w:bottom w:val="nil"/>
              <w:right w:val="nil"/>
            </w:tcBorders>
            <w:tcMar>
              <w:top w:w="0" w:type="dxa"/>
              <w:left w:w="0" w:type="dxa"/>
              <w:bottom w:w="0" w:type="dxa"/>
              <w:right w:w="0" w:type="dxa"/>
            </w:tcMar>
            <w:vAlign w:val="bottom"/>
          </w:tcPr>
          <w:p w14:paraId="0F1289BC" w14:textId="77777777" w:rsidR="00D0338B" w:rsidRDefault="00D0338B"/>
        </w:tc>
        <w:tc>
          <w:tcPr>
            <w:tcW w:w="160" w:type="dxa"/>
            <w:tcBorders>
              <w:top w:val="nil"/>
              <w:left w:val="nil"/>
              <w:bottom w:val="nil"/>
              <w:right w:val="nil"/>
            </w:tcBorders>
            <w:tcMar>
              <w:top w:w="0" w:type="dxa"/>
              <w:left w:w="53" w:type="dxa"/>
              <w:bottom w:w="0" w:type="dxa"/>
              <w:right w:w="0" w:type="dxa"/>
            </w:tcMar>
            <w:vAlign w:val="bottom"/>
          </w:tcPr>
          <w:p w14:paraId="553A9F14" w14:textId="77777777" w:rsidR="00D0338B" w:rsidRDefault="00DB7EA0">
            <w:pPr>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44F59B6E" w14:textId="77777777" w:rsidR="00D0338B" w:rsidRDefault="00DB7EA0">
            <w:pPr>
              <w:spacing w:before="53" w:after="30"/>
              <w:jc w:val="right"/>
            </w:pPr>
            <w:r>
              <w:rPr>
                <w:color w:val="000000"/>
                <w:sz w:val="22"/>
              </w:rPr>
              <w:t>2.40 </w:t>
            </w:r>
          </w:p>
        </w:tc>
        <w:tc>
          <w:tcPr>
            <w:tcW w:w="100" w:type="dxa"/>
            <w:tcBorders>
              <w:top w:val="nil"/>
              <w:left w:val="nil"/>
              <w:bottom w:val="nil"/>
              <w:right w:val="nil"/>
            </w:tcBorders>
            <w:tcMar>
              <w:top w:w="0" w:type="dxa"/>
              <w:left w:w="0" w:type="dxa"/>
              <w:bottom w:w="0" w:type="dxa"/>
              <w:right w:w="15" w:type="dxa"/>
            </w:tcMar>
            <w:vAlign w:val="bottom"/>
          </w:tcPr>
          <w:p w14:paraId="1D58AAA6" w14:textId="77777777" w:rsidR="00D0338B" w:rsidRDefault="00D0338B">
            <w:pPr>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6D97540E" w14:textId="77777777" w:rsidR="00D0338B" w:rsidRDefault="00D0338B"/>
        </w:tc>
        <w:tc>
          <w:tcPr>
            <w:tcW w:w="160" w:type="dxa"/>
            <w:tcBorders>
              <w:top w:val="nil"/>
              <w:left w:val="nil"/>
              <w:bottom w:val="nil"/>
              <w:right w:val="nil"/>
            </w:tcBorders>
            <w:tcMar>
              <w:top w:w="0" w:type="dxa"/>
              <w:left w:w="53" w:type="dxa"/>
              <w:bottom w:w="0" w:type="dxa"/>
              <w:right w:w="0" w:type="dxa"/>
            </w:tcMar>
            <w:vAlign w:val="bottom"/>
          </w:tcPr>
          <w:p w14:paraId="61808E4D" w14:textId="77777777" w:rsidR="00D0338B" w:rsidRDefault="00DB7EA0">
            <w:pPr>
              <w:spacing w:before="53" w:after="30"/>
            </w:pPr>
            <w:r>
              <w:rPr>
                <w:color w:val="000000"/>
                <w:sz w:val="22"/>
              </w:rPr>
              <w:t>$</w:t>
            </w:r>
          </w:p>
        </w:tc>
        <w:tc>
          <w:tcPr>
            <w:tcW w:w="715" w:type="dxa"/>
            <w:tcBorders>
              <w:top w:val="nil"/>
              <w:left w:val="nil"/>
              <w:bottom w:val="nil"/>
              <w:right w:val="nil"/>
            </w:tcBorders>
            <w:tcMar>
              <w:top w:w="0" w:type="dxa"/>
              <w:left w:w="0" w:type="dxa"/>
              <w:bottom w:w="0" w:type="dxa"/>
              <w:right w:w="0" w:type="dxa"/>
            </w:tcMar>
            <w:vAlign w:val="bottom"/>
          </w:tcPr>
          <w:p w14:paraId="1BE00B7F" w14:textId="77777777" w:rsidR="00D0338B" w:rsidRDefault="00DB7EA0">
            <w:pPr>
              <w:spacing w:before="53" w:after="30"/>
              <w:jc w:val="right"/>
            </w:pPr>
            <w:r>
              <w:rPr>
                <w:color w:val="000000"/>
                <w:sz w:val="22"/>
              </w:rPr>
              <w:t>2.45 </w:t>
            </w:r>
          </w:p>
        </w:tc>
        <w:tc>
          <w:tcPr>
            <w:tcW w:w="100" w:type="dxa"/>
            <w:tcBorders>
              <w:top w:val="nil"/>
              <w:left w:val="nil"/>
              <w:bottom w:val="nil"/>
              <w:right w:val="nil"/>
            </w:tcBorders>
            <w:tcMar>
              <w:top w:w="0" w:type="dxa"/>
              <w:left w:w="0" w:type="dxa"/>
              <w:bottom w:w="0" w:type="dxa"/>
              <w:right w:w="15" w:type="dxa"/>
            </w:tcMar>
            <w:vAlign w:val="bottom"/>
          </w:tcPr>
          <w:p w14:paraId="7D25D3B6" w14:textId="77777777" w:rsidR="00D0338B" w:rsidRDefault="00D0338B">
            <w:pPr>
              <w:spacing w:before="53" w:after="30"/>
              <w:jc w:val="right"/>
            </w:pPr>
          </w:p>
        </w:tc>
        <w:tc>
          <w:tcPr>
            <w:tcW w:w="75" w:type="dxa"/>
            <w:tcBorders>
              <w:top w:val="nil"/>
              <w:left w:val="nil"/>
              <w:bottom w:val="nil"/>
              <w:right w:val="nil"/>
            </w:tcBorders>
            <w:tcMar>
              <w:top w:w="0" w:type="dxa"/>
              <w:left w:w="0" w:type="dxa"/>
              <w:bottom w:w="0" w:type="dxa"/>
              <w:right w:w="0" w:type="dxa"/>
            </w:tcMar>
            <w:vAlign w:val="bottom"/>
          </w:tcPr>
          <w:p w14:paraId="2F37DF62" w14:textId="77777777" w:rsidR="00D0338B" w:rsidRDefault="00D0338B"/>
        </w:tc>
        <w:tc>
          <w:tcPr>
            <w:tcW w:w="875" w:type="dxa"/>
            <w:tcBorders>
              <w:top w:val="nil"/>
              <w:left w:val="nil"/>
              <w:bottom w:val="nil"/>
              <w:right w:val="nil"/>
            </w:tcBorders>
            <w:tcMar>
              <w:top w:w="0" w:type="dxa"/>
              <w:left w:w="53" w:type="dxa"/>
              <w:bottom w:w="0" w:type="dxa"/>
              <w:right w:w="0" w:type="dxa"/>
            </w:tcMar>
            <w:vAlign w:val="bottom"/>
          </w:tcPr>
          <w:p w14:paraId="0D818C98" w14:textId="77777777" w:rsidR="00D0338B" w:rsidRDefault="00DB7EA0">
            <w:pPr>
              <w:spacing w:before="53" w:after="30"/>
              <w:jc w:val="right"/>
            </w:pPr>
            <w:r>
              <w:rPr>
                <w:color w:val="000000"/>
                <w:sz w:val="22"/>
              </w:rPr>
              <w:t>(2)</w:t>
            </w:r>
          </w:p>
        </w:tc>
        <w:tc>
          <w:tcPr>
            <w:tcW w:w="100" w:type="dxa"/>
            <w:tcBorders>
              <w:top w:val="nil"/>
              <w:left w:val="nil"/>
              <w:bottom w:val="nil"/>
              <w:right w:val="nil"/>
            </w:tcBorders>
            <w:tcMar>
              <w:top w:w="0" w:type="dxa"/>
              <w:left w:w="0" w:type="dxa"/>
              <w:bottom w:w="0" w:type="dxa"/>
              <w:right w:w="15" w:type="dxa"/>
            </w:tcMar>
            <w:vAlign w:val="bottom"/>
          </w:tcPr>
          <w:p w14:paraId="3DFB5C77" w14:textId="77777777" w:rsidR="00D0338B" w:rsidRDefault="00DB7EA0">
            <w:pPr>
              <w:spacing w:before="53" w:after="30"/>
              <w:jc w:val="right"/>
            </w:pPr>
            <w:r>
              <w:rPr>
                <w:color w:val="000000"/>
                <w:sz w:val="22"/>
              </w:rPr>
              <w:t>%</w:t>
            </w:r>
          </w:p>
        </w:tc>
      </w:tr>
    </w:tbl>
    <w:p w14:paraId="6328E236" w14:textId="77777777" w:rsidR="00A77B3E" w:rsidRDefault="00A77B3E">
      <w:pPr>
        <w:keepLines/>
        <w:widowControl w:val="0"/>
        <w:tabs>
          <w:tab w:val="left" w:pos="1440"/>
          <w:tab w:val="left" w:pos="5040"/>
          <w:tab w:val="left" w:pos="5760"/>
          <w:tab w:val="left" w:pos="6480"/>
          <w:tab w:val="left" w:pos="7200"/>
          <w:tab w:val="left" w:pos="7920"/>
          <w:tab w:val="left" w:pos="8640"/>
          <w:tab w:val="left" w:pos="9360"/>
          <w:tab w:val="left" w:pos="10080"/>
          <w:tab w:val="left" w:pos="10800"/>
          <w:tab w:val="left" w:pos="11520"/>
        </w:tabs>
        <w:spacing w:before="100" w:line="288" w:lineRule="auto"/>
        <w:rPr>
          <w:sz w:val="20"/>
        </w:rPr>
      </w:pPr>
    </w:p>
    <w:p w14:paraId="327B1CD7" w14:textId="77777777" w:rsidR="00A77B3E" w:rsidRDefault="00A77B3E">
      <w:pPr>
        <w:keepLines/>
        <w:widowControl w:val="0"/>
        <w:tabs>
          <w:tab w:val="left" w:pos="1440"/>
          <w:tab w:val="left" w:pos="5040"/>
          <w:tab w:val="left" w:pos="5760"/>
          <w:tab w:val="left" w:pos="6480"/>
          <w:tab w:val="left" w:pos="7200"/>
          <w:tab w:val="left" w:pos="7920"/>
          <w:tab w:val="left" w:pos="8640"/>
          <w:tab w:val="left" w:pos="9360"/>
          <w:tab w:val="left" w:pos="10080"/>
          <w:tab w:val="left" w:pos="10800"/>
          <w:tab w:val="left" w:pos="11520"/>
        </w:tabs>
        <w:spacing w:line="288" w:lineRule="auto"/>
        <w:rPr>
          <w:sz w:val="20"/>
        </w:rPr>
      </w:pPr>
    </w:p>
    <w:p w14:paraId="380E3B2C" w14:textId="77777777" w:rsidR="00A77B3E" w:rsidRDefault="00DB7EA0">
      <w:pPr>
        <w:keepNext/>
        <w:keepLines/>
        <w:widowControl w:val="0"/>
        <w:tabs>
          <w:tab w:val="left" w:pos="1440"/>
          <w:tab w:val="left" w:pos="5040"/>
          <w:tab w:val="left" w:pos="5760"/>
          <w:tab w:val="left" w:pos="6480"/>
          <w:tab w:val="left" w:pos="7200"/>
          <w:tab w:val="left" w:pos="7920"/>
          <w:tab w:val="left" w:pos="8640"/>
          <w:tab w:val="left" w:pos="9360"/>
          <w:tab w:val="left" w:pos="10080"/>
          <w:tab w:val="left" w:pos="10800"/>
          <w:tab w:val="left" w:pos="11520"/>
        </w:tabs>
        <w:spacing w:after="100" w:line="288" w:lineRule="auto"/>
        <w:jc w:val="center"/>
        <w:rPr>
          <w:b/>
        </w:rPr>
      </w:pPr>
      <w:r>
        <w:rPr>
          <w:b/>
        </w:rPr>
        <w:lastRenderedPageBreak/>
        <w:t xml:space="preserve">Fourth-Quarter and Year-to-Date Earnings by Segment </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163"/>
        <w:gridCol w:w="959"/>
        <w:gridCol w:w="102"/>
        <w:gridCol w:w="77"/>
        <w:gridCol w:w="163"/>
        <w:gridCol w:w="959"/>
        <w:gridCol w:w="102"/>
        <w:gridCol w:w="77"/>
        <w:gridCol w:w="163"/>
        <w:gridCol w:w="959"/>
        <w:gridCol w:w="102"/>
        <w:gridCol w:w="77"/>
        <w:gridCol w:w="163"/>
        <w:gridCol w:w="959"/>
        <w:gridCol w:w="102"/>
      </w:tblGrid>
      <w:tr w:rsidR="00D0338B" w14:paraId="4DBD5AA8" w14:textId="77777777">
        <w:trPr>
          <w:cantSplit/>
          <w:trHeight w:hRule="exact" w:val="300"/>
          <w:jc w:val="center"/>
        </w:trPr>
        <w:tc>
          <w:tcPr>
            <w:tcW w:w="5400" w:type="dxa"/>
            <w:tcBorders>
              <w:top w:val="nil"/>
              <w:left w:val="nil"/>
              <w:bottom w:val="nil"/>
              <w:right w:val="nil"/>
            </w:tcBorders>
            <w:tcMar>
              <w:top w:w="0" w:type="dxa"/>
              <w:left w:w="0" w:type="dxa"/>
              <w:bottom w:w="0" w:type="dxa"/>
              <w:right w:w="0" w:type="dxa"/>
            </w:tcMar>
            <w:vAlign w:val="bottom"/>
          </w:tcPr>
          <w:p w14:paraId="1500E360" w14:textId="77777777" w:rsidR="00D0338B" w:rsidRDefault="00D0338B">
            <w:pPr>
              <w:keepNext/>
            </w:pPr>
          </w:p>
        </w:tc>
        <w:tc>
          <w:tcPr>
            <w:tcW w:w="2475" w:type="dxa"/>
            <w:gridSpan w:val="7"/>
            <w:tcBorders>
              <w:top w:val="nil"/>
              <w:left w:val="nil"/>
              <w:bottom w:val="single" w:sz="8" w:space="0" w:color="000000"/>
              <w:right w:val="nil"/>
            </w:tcBorders>
            <w:tcMar>
              <w:top w:w="0" w:type="dxa"/>
              <w:left w:w="53" w:type="dxa"/>
              <w:bottom w:w="0" w:type="dxa"/>
              <w:right w:w="15" w:type="dxa"/>
            </w:tcMar>
            <w:vAlign w:val="center"/>
          </w:tcPr>
          <w:p w14:paraId="5E1F8BED" w14:textId="77777777" w:rsidR="00D0338B" w:rsidRDefault="00DB7EA0">
            <w:pPr>
              <w:keepNext/>
              <w:jc w:val="center"/>
            </w:pPr>
            <w:r>
              <w:rPr>
                <w:b/>
                <w:color w:val="333333"/>
                <w:sz w:val="22"/>
              </w:rPr>
              <w:t>4th Quarter</w:t>
            </w:r>
          </w:p>
        </w:tc>
        <w:tc>
          <w:tcPr>
            <w:tcW w:w="75" w:type="dxa"/>
            <w:tcBorders>
              <w:top w:val="nil"/>
              <w:left w:val="nil"/>
              <w:bottom w:val="nil"/>
              <w:right w:val="nil"/>
            </w:tcBorders>
            <w:tcMar>
              <w:top w:w="0" w:type="dxa"/>
              <w:left w:w="0" w:type="dxa"/>
              <w:bottom w:w="0" w:type="dxa"/>
              <w:right w:w="0" w:type="dxa"/>
            </w:tcMar>
            <w:vAlign w:val="bottom"/>
          </w:tcPr>
          <w:p w14:paraId="7B47E9D2" w14:textId="77777777" w:rsidR="00D0338B" w:rsidRDefault="00D0338B">
            <w:pPr>
              <w:keepNext/>
            </w:pPr>
          </w:p>
        </w:tc>
        <w:tc>
          <w:tcPr>
            <w:tcW w:w="2475" w:type="dxa"/>
            <w:gridSpan w:val="7"/>
            <w:tcBorders>
              <w:top w:val="nil"/>
              <w:left w:val="nil"/>
              <w:bottom w:val="single" w:sz="8" w:space="0" w:color="000000"/>
              <w:right w:val="nil"/>
            </w:tcBorders>
            <w:tcMar>
              <w:top w:w="0" w:type="dxa"/>
              <w:left w:w="53" w:type="dxa"/>
              <w:bottom w:w="0" w:type="dxa"/>
              <w:right w:w="15" w:type="dxa"/>
            </w:tcMar>
            <w:vAlign w:val="center"/>
          </w:tcPr>
          <w:p w14:paraId="10E21E9E" w14:textId="77777777" w:rsidR="00D0338B" w:rsidRDefault="00DB7EA0">
            <w:pPr>
              <w:keepNext/>
              <w:jc w:val="center"/>
            </w:pPr>
            <w:r>
              <w:rPr>
                <w:b/>
                <w:color w:val="333333"/>
                <w:sz w:val="22"/>
              </w:rPr>
              <w:t>Year</w:t>
            </w:r>
          </w:p>
        </w:tc>
      </w:tr>
      <w:tr w:rsidR="00D0338B" w14:paraId="6B8B617E" w14:textId="77777777">
        <w:trPr>
          <w:cantSplit/>
          <w:trHeight w:hRule="exact" w:val="300"/>
          <w:jc w:val="center"/>
        </w:trPr>
        <w:tc>
          <w:tcPr>
            <w:tcW w:w="5400" w:type="dxa"/>
            <w:tcBorders>
              <w:top w:val="nil"/>
              <w:left w:val="nil"/>
              <w:bottom w:val="nil"/>
              <w:right w:val="nil"/>
            </w:tcBorders>
            <w:tcMar>
              <w:top w:w="0" w:type="dxa"/>
              <w:left w:w="53" w:type="dxa"/>
              <w:bottom w:w="0" w:type="dxa"/>
              <w:right w:w="53" w:type="dxa"/>
            </w:tcMar>
            <w:vAlign w:val="center"/>
          </w:tcPr>
          <w:p w14:paraId="744BAEE7" w14:textId="77777777" w:rsidR="00D0338B" w:rsidRDefault="00DB7EA0">
            <w:pPr>
              <w:keepNext/>
            </w:pPr>
            <w:r>
              <w:rPr>
                <w:b/>
                <w:color w:val="000000"/>
                <w:sz w:val="22"/>
              </w:rPr>
              <w:t>Per share</w:t>
            </w:r>
          </w:p>
        </w:tc>
        <w:tc>
          <w:tcPr>
            <w:tcW w:w="1200" w:type="dxa"/>
            <w:gridSpan w:val="3"/>
            <w:tcBorders>
              <w:top w:val="nil"/>
              <w:left w:val="nil"/>
              <w:bottom w:val="single" w:sz="8" w:space="0" w:color="000000"/>
              <w:right w:val="nil"/>
            </w:tcBorders>
            <w:tcMar>
              <w:top w:w="0" w:type="dxa"/>
              <w:left w:w="53" w:type="dxa"/>
              <w:bottom w:w="0" w:type="dxa"/>
              <w:right w:w="53" w:type="dxa"/>
            </w:tcMar>
            <w:vAlign w:val="center"/>
          </w:tcPr>
          <w:p w14:paraId="1681C5E3" w14:textId="77777777" w:rsidR="00D0338B" w:rsidRDefault="00DB7EA0">
            <w:pPr>
              <w:keepNext/>
              <w:jc w:val="center"/>
            </w:pPr>
            <w:r>
              <w:rPr>
                <w:b/>
                <w:color w:val="333333"/>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B915395" w14:textId="77777777" w:rsidR="00D0338B" w:rsidRDefault="00D0338B">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614044DB" w14:textId="77777777" w:rsidR="00D0338B" w:rsidRDefault="00DB7EA0">
            <w:pPr>
              <w:keepNext/>
              <w:jc w:val="center"/>
            </w:pPr>
            <w:r>
              <w:rPr>
                <w:b/>
                <w:color w:val="333333"/>
                <w:sz w:val="22"/>
              </w:rPr>
              <w:t>2019</w:t>
            </w:r>
          </w:p>
        </w:tc>
        <w:tc>
          <w:tcPr>
            <w:tcW w:w="75" w:type="dxa"/>
            <w:tcBorders>
              <w:top w:val="nil"/>
              <w:left w:val="nil"/>
              <w:bottom w:val="nil"/>
              <w:right w:val="nil"/>
            </w:tcBorders>
            <w:tcMar>
              <w:top w:w="0" w:type="dxa"/>
              <w:left w:w="0" w:type="dxa"/>
              <w:bottom w:w="0" w:type="dxa"/>
              <w:right w:w="0" w:type="dxa"/>
            </w:tcMar>
            <w:vAlign w:val="bottom"/>
          </w:tcPr>
          <w:p w14:paraId="799E7B91" w14:textId="77777777" w:rsidR="00D0338B" w:rsidRDefault="00D0338B">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center"/>
          </w:tcPr>
          <w:p w14:paraId="4FF76D19" w14:textId="77777777" w:rsidR="00D0338B" w:rsidRDefault="00DB7EA0">
            <w:pPr>
              <w:keepNext/>
              <w:jc w:val="center"/>
            </w:pPr>
            <w:r>
              <w:rPr>
                <w:b/>
                <w:color w:val="333333"/>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22148FF" w14:textId="77777777" w:rsidR="00D0338B" w:rsidRDefault="00D0338B">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31FA5493" w14:textId="77777777" w:rsidR="00D0338B" w:rsidRDefault="00DB7EA0">
            <w:pPr>
              <w:keepNext/>
              <w:jc w:val="center"/>
            </w:pPr>
            <w:r>
              <w:rPr>
                <w:b/>
                <w:color w:val="333333"/>
                <w:sz w:val="22"/>
              </w:rPr>
              <w:t>2019</w:t>
            </w:r>
          </w:p>
        </w:tc>
      </w:tr>
      <w:tr w:rsidR="00D0338B" w14:paraId="0A87A42F" w14:textId="77777777">
        <w:trPr>
          <w:cantSplit/>
          <w:trHeight w:hRule="exact" w:val="300"/>
          <w:jc w:val="center"/>
        </w:trPr>
        <w:tc>
          <w:tcPr>
            <w:tcW w:w="5400" w:type="dxa"/>
            <w:tcBorders>
              <w:top w:val="nil"/>
              <w:left w:val="nil"/>
              <w:bottom w:val="nil"/>
              <w:right w:val="nil"/>
            </w:tcBorders>
            <w:tcMar>
              <w:top w:w="0" w:type="dxa"/>
              <w:left w:w="53" w:type="dxa"/>
              <w:bottom w:w="0" w:type="dxa"/>
              <w:right w:w="53" w:type="dxa"/>
            </w:tcMar>
            <w:vAlign w:val="center"/>
          </w:tcPr>
          <w:p w14:paraId="5D2813A9" w14:textId="77777777" w:rsidR="00D0338B" w:rsidRDefault="00DB7EA0">
            <w:pPr>
              <w:keepNext/>
            </w:pPr>
            <w:r>
              <w:rPr>
                <w:b/>
                <w:color w:val="000000"/>
                <w:sz w:val="22"/>
              </w:rPr>
              <w:t>Reported Earnings</w:t>
            </w: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65872205"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C30FBAD"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4E33D7DD"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5ED2615"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65DAC39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48DD757"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208ADE87" w14:textId="77777777" w:rsidR="00D0338B" w:rsidRDefault="00D0338B">
            <w:pPr>
              <w:keepNext/>
            </w:pPr>
          </w:p>
        </w:tc>
      </w:tr>
      <w:tr w:rsidR="00D0338B" w14:paraId="426871C9"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10B248F6" w14:textId="77777777" w:rsidR="00D0338B" w:rsidRDefault="00DB7EA0">
            <w:pPr>
              <w:keepNext/>
            </w:pPr>
            <w:r>
              <w:rPr>
                <w:color w:val="000000"/>
                <w:sz w:val="22"/>
              </w:rPr>
              <w:t>U.K. Regulated</w:t>
            </w: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22A5CD73"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4DC78493" w14:textId="77777777" w:rsidR="00D0338B" w:rsidRDefault="00DB7EA0">
            <w:pPr>
              <w:keepNext/>
              <w:jc w:val="right"/>
            </w:pPr>
            <w:r>
              <w:rPr>
                <w:color w:val="000000"/>
                <w:sz w:val="20"/>
              </w:rPr>
              <w:t>0.15 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7A35E666"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D4BF95"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7CC67996"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6533741D" w14:textId="77777777" w:rsidR="00D0338B" w:rsidRDefault="00DB7EA0">
            <w:pPr>
              <w:keepNext/>
              <w:jc w:val="right"/>
            </w:pPr>
            <w:r>
              <w:rPr>
                <w:color w:val="000000"/>
                <w:sz w:val="20"/>
              </w:rPr>
              <w:t>0.26 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1FA7540"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70BD45"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0019A935"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737D1602" w14:textId="77777777" w:rsidR="00D0338B" w:rsidRDefault="00DB7EA0">
            <w:pPr>
              <w:keepNext/>
              <w:jc w:val="right"/>
            </w:pPr>
            <w:r>
              <w:rPr>
                <w:color w:val="000000"/>
                <w:sz w:val="20"/>
              </w:rPr>
              <w:t>0.89 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0C24DE9"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33A342"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2D0AFCFC"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19981981" w14:textId="77777777" w:rsidR="00D0338B" w:rsidRDefault="00DB7EA0">
            <w:pPr>
              <w:keepNext/>
              <w:jc w:val="right"/>
            </w:pPr>
            <w:r>
              <w:rPr>
                <w:color w:val="000000"/>
                <w:sz w:val="20"/>
              </w:rPr>
              <w:t>1.33 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7B17280D" w14:textId="77777777" w:rsidR="00D0338B" w:rsidRDefault="00D0338B">
            <w:pPr>
              <w:keepNext/>
              <w:jc w:val="right"/>
            </w:pPr>
          </w:p>
        </w:tc>
      </w:tr>
      <w:tr w:rsidR="00D0338B" w14:paraId="4F46198C" w14:textId="77777777">
        <w:trPr>
          <w:cantSplit/>
          <w:trHeight w:hRule="exact" w:val="315"/>
          <w:jc w:val="center"/>
        </w:trPr>
        <w:tc>
          <w:tcPr>
            <w:tcW w:w="5400" w:type="dxa"/>
            <w:tcBorders>
              <w:top w:val="nil"/>
              <w:left w:val="nil"/>
              <w:bottom w:val="nil"/>
              <w:right w:val="nil"/>
            </w:tcBorders>
            <w:shd w:val="clear" w:color="auto" w:fill="FFFFFF"/>
            <w:tcMar>
              <w:top w:w="0" w:type="dxa"/>
              <w:left w:w="53" w:type="dxa"/>
              <w:bottom w:w="0" w:type="dxa"/>
              <w:right w:w="53" w:type="dxa"/>
            </w:tcMar>
            <w:vAlign w:val="center"/>
          </w:tcPr>
          <w:p w14:paraId="3BE1F79F" w14:textId="77777777" w:rsidR="00D0338B" w:rsidRDefault="00DB7EA0">
            <w:pPr>
              <w:keepNext/>
            </w:pPr>
            <w:r>
              <w:rPr>
                <w:color w:val="000000"/>
                <w:sz w:val="22"/>
              </w:rPr>
              <w:t>Kentucky Regulated</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66E5732A" w14:textId="77777777" w:rsidR="00D0338B" w:rsidRDefault="00DB7EA0">
            <w:pPr>
              <w:keepNext/>
              <w:jc w:val="right"/>
            </w:pPr>
            <w:r>
              <w:rPr>
                <w:color w:val="000000"/>
                <w:sz w:val="20"/>
              </w:rPr>
              <w:t>0.11 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B7FFB6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DBB25F"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5256C332" w14:textId="77777777" w:rsidR="00D0338B" w:rsidRDefault="00DB7EA0">
            <w:pPr>
              <w:keepNext/>
              <w:jc w:val="right"/>
            </w:pPr>
            <w:r>
              <w:rPr>
                <w:color w:val="000000"/>
                <w:sz w:val="20"/>
              </w:rPr>
              <w:t>0.10 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58B497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8DBD62"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77A7350F" w14:textId="77777777" w:rsidR="00D0338B" w:rsidRDefault="00DB7EA0">
            <w:pPr>
              <w:keepNext/>
              <w:jc w:val="right"/>
            </w:pPr>
            <w:r>
              <w:rPr>
                <w:color w:val="000000"/>
                <w:sz w:val="20"/>
              </w:rPr>
              <w:t>0.54 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4AB8632"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480ED9"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1E6E56C7" w14:textId="77777777" w:rsidR="00D0338B" w:rsidRDefault="00DB7EA0">
            <w:pPr>
              <w:keepNext/>
              <w:jc w:val="right"/>
            </w:pPr>
            <w:r>
              <w:rPr>
                <w:color w:val="000000"/>
                <w:sz w:val="20"/>
              </w:rPr>
              <w:t>0.59 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A03CFC3" w14:textId="77777777" w:rsidR="00D0338B" w:rsidRDefault="00D0338B">
            <w:pPr>
              <w:keepNext/>
              <w:jc w:val="right"/>
            </w:pPr>
          </w:p>
        </w:tc>
      </w:tr>
      <w:tr w:rsidR="00D0338B" w14:paraId="1C38F7CE"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4F4EE20E" w14:textId="77777777" w:rsidR="00D0338B" w:rsidRDefault="00DB7EA0">
            <w:pPr>
              <w:keepNext/>
            </w:pPr>
            <w:r>
              <w:rPr>
                <w:color w:val="000000"/>
                <w:sz w:val="22"/>
              </w:rPr>
              <w:t>Pennsylvania Regulated</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204316E5" w14:textId="77777777" w:rsidR="00D0338B" w:rsidRDefault="00DB7EA0">
            <w:pPr>
              <w:keepNext/>
              <w:jc w:val="right"/>
            </w:pPr>
            <w:r>
              <w:rPr>
                <w:color w:val="000000"/>
                <w:sz w:val="20"/>
              </w:rPr>
              <w:t>0.16 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8D20092"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6CAF6A"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53924F32" w14:textId="77777777" w:rsidR="00D0338B" w:rsidRDefault="00DB7EA0">
            <w:pPr>
              <w:keepNext/>
              <w:jc w:val="right"/>
            </w:pPr>
            <w:r>
              <w:rPr>
                <w:color w:val="000000"/>
                <w:sz w:val="20"/>
              </w:rPr>
              <w:t>0.16 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EF51B44"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23BAFA"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51C8AFEF" w14:textId="77777777" w:rsidR="00D0338B" w:rsidRDefault="00DB7EA0">
            <w:pPr>
              <w:keepNext/>
              <w:jc w:val="right"/>
            </w:pPr>
            <w:r>
              <w:rPr>
                <w:color w:val="000000"/>
                <w:sz w:val="20"/>
              </w:rPr>
              <w:t>0.65 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1B12369F"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C64097"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64A897A0" w14:textId="77777777" w:rsidR="00D0338B" w:rsidRDefault="00DB7EA0">
            <w:pPr>
              <w:keepNext/>
              <w:jc w:val="right"/>
            </w:pPr>
            <w:r>
              <w:rPr>
                <w:color w:val="000000"/>
                <w:sz w:val="20"/>
              </w:rPr>
              <w:t>0.62 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2CDCCDD" w14:textId="77777777" w:rsidR="00D0338B" w:rsidRDefault="00D0338B">
            <w:pPr>
              <w:keepNext/>
              <w:jc w:val="right"/>
            </w:pPr>
          </w:p>
        </w:tc>
      </w:tr>
      <w:tr w:rsidR="00D0338B" w14:paraId="072DB9FB" w14:textId="77777777">
        <w:trPr>
          <w:cantSplit/>
          <w:trHeight w:hRule="exact" w:val="315"/>
          <w:jc w:val="center"/>
        </w:trPr>
        <w:tc>
          <w:tcPr>
            <w:tcW w:w="5400" w:type="dxa"/>
            <w:tcBorders>
              <w:top w:val="nil"/>
              <w:left w:val="nil"/>
              <w:bottom w:val="nil"/>
              <w:right w:val="nil"/>
            </w:tcBorders>
            <w:shd w:val="clear" w:color="auto" w:fill="FFFFFF"/>
            <w:tcMar>
              <w:top w:w="0" w:type="dxa"/>
              <w:left w:w="53" w:type="dxa"/>
              <w:bottom w:w="0" w:type="dxa"/>
              <w:right w:w="53" w:type="dxa"/>
            </w:tcMar>
            <w:vAlign w:val="center"/>
          </w:tcPr>
          <w:p w14:paraId="5087522E" w14:textId="77777777" w:rsidR="00D0338B" w:rsidRDefault="00DB7EA0">
            <w:pPr>
              <w:keepNext/>
            </w:pPr>
            <w:r>
              <w:rPr>
                <w:color w:val="000000"/>
                <w:sz w:val="22"/>
              </w:rPr>
              <w:t>Corporate &amp; Other</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72689F53" w14:textId="77777777" w:rsidR="00D0338B" w:rsidRDefault="00DB7EA0">
            <w:pPr>
              <w:keepNext/>
              <w:jc w:val="right"/>
            </w:pPr>
            <w:r>
              <w:rPr>
                <w:color w:val="000000"/>
                <w:sz w:val="20"/>
              </w:rPr>
              <w:t>(0.04)</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2B53395"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889B7D"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4FC20BBC" w14:textId="77777777" w:rsidR="00D0338B" w:rsidRDefault="00DB7EA0">
            <w:pPr>
              <w:keepNext/>
              <w:jc w:val="right"/>
            </w:pPr>
            <w:r>
              <w:rPr>
                <w:color w:val="000000"/>
                <w:sz w:val="20"/>
              </w:rPr>
              <w:t>(0.04)</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24918EA"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4DBF3F"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26AE9F7E" w14:textId="77777777" w:rsidR="00D0338B" w:rsidRDefault="00DB7EA0">
            <w:pPr>
              <w:keepNext/>
              <w:jc w:val="right"/>
            </w:pPr>
            <w:r>
              <w:rPr>
                <w:color w:val="000000"/>
                <w:sz w:val="20"/>
              </w:rPr>
              <w:t>(0.17)</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42962D1"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C0AEB1"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04FA69B6" w14:textId="77777777" w:rsidR="00D0338B" w:rsidRDefault="00DB7EA0">
            <w:pPr>
              <w:keepNext/>
              <w:jc w:val="right"/>
            </w:pPr>
            <w:r>
              <w:rPr>
                <w:color w:val="000000"/>
                <w:sz w:val="20"/>
              </w:rPr>
              <w:t>(0.17)</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5B62171" w14:textId="77777777" w:rsidR="00D0338B" w:rsidRDefault="00D0338B">
            <w:pPr>
              <w:keepNext/>
              <w:jc w:val="right"/>
            </w:pPr>
          </w:p>
        </w:tc>
      </w:tr>
      <w:tr w:rsidR="00D0338B" w14:paraId="1A4E4CF5"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00448211" w14:textId="77777777" w:rsidR="00D0338B" w:rsidRDefault="00DB7EA0">
            <w:r>
              <w:rPr>
                <w:color w:val="000000"/>
                <w:sz w:val="22"/>
              </w:rPr>
              <w:t>    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5F3E7C46"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7B3268D0" w14:textId="77777777" w:rsidR="00D0338B" w:rsidRDefault="00DB7EA0">
            <w:pPr>
              <w:jc w:val="right"/>
            </w:pPr>
            <w:r>
              <w:rPr>
                <w:color w:val="000000"/>
                <w:sz w:val="20"/>
              </w:rPr>
              <w:t>0.38 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57EBE48E"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ABF222"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5274ADF6"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61428544" w14:textId="77777777" w:rsidR="00D0338B" w:rsidRDefault="00DB7EA0">
            <w:pPr>
              <w:jc w:val="right"/>
            </w:pPr>
            <w:r>
              <w:rPr>
                <w:color w:val="000000"/>
                <w:sz w:val="20"/>
              </w:rPr>
              <w:t>0.48 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4FFF65CF"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F18374"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334CB708"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21168919" w14:textId="77777777" w:rsidR="00D0338B" w:rsidRDefault="00DB7EA0">
            <w:pPr>
              <w:jc w:val="right"/>
            </w:pPr>
            <w:r>
              <w:rPr>
                <w:color w:val="000000"/>
                <w:sz w:val="20"/>
              </w:rPr>
              <w:t>1.91 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789639BA"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3196DF"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2775BE0F"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6B08FF24" w14:textId="77777777" w:rsidR="00D0338B" w:rsidRDefault="00DB7EA0">
            <w:pPr>
              <w:jc w:val="right"/>
            </w:pPr>
            <w:r>
              <w:rPr>
                <w:color w:val="000000"/>
                <w:sz w:val="20"/>
              </w:rPr>
              <w:t>2.37 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53310309" w14:textId="77777777" w:rsidR="00D0338B" w:rsidRDefault="00D0338B">
            <w:pPr>
              <w:jc w:val="right"/>
            </w:pPr>
          </w:p>
        </w:tc>
      </w:tr>
    </w:tbl>
    <w:p w14:paraId="48EB20EE" w14:textId="77777777" w:rsidR="00A77B3E" w:rsidRDefault="00A77B3E">
      <w:pPr>
        <w:keepNext/>
        <w:keepLines/>
        <w:widowControl w:val="0"/>
        <w:tabs>
          <w:tab w:val="left" w:pos="1440"/>
          <w:tab w:val="left" w:pos="5040"/>
          <w:tab w:val="left" w:pos="5760"/>
          <w:tab w:val="left" w:pos="6480"/>
          <w:tab w:val="left" w:pos="7200"/>
          <w:tab w:val="left" w:pos="7920"/>
          <w:tab w:val="left" w:pos="8640"/>
          <w:tab w:val="left" w:pos="9360"/>
          <w:tab w:val="left" w:pos="10080"/>
          <w:tab w:val="left" w:pos="10800"/>
          <w:tab w:val="left" w:pos="11520"/>
        </w:tabs>
        <w:spacing w:after="100" w:line="288" w:lineRule="auto"/>
        <w:jc w:val="center"/>
        <w:rPr>
          <w:sz w:val="10"/>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163"/>
        <w:gridCol w:w="959"/>
        <w:gridCol w:w="102"/>
        <w:gridCol w:w="77"/>
        <w:gridCol w:w="163"/>
        <w:gridCol w:w="959"/>
        <w:gridCol w:w="102"/>
        <w:gridCol w:w="77"/>
        <w:gridCol w:w="163"/>
        <w:gridCol w:w="959"/>
        <w:gridCol w:w="102"/>
        <w:gridCol w:w="77"/>
        <w:gridCol w:w="163"/>
        <w:gridCol w:w="959"/>
        <w:gridCol w:w="102"/>
      </w:tblGrid>
      <w:tr w:rsidR="00D0338B" w14:paraId="4BDC5EA1" w14:textId="77777777">
        <w:trPr>
          <w:cantSplit/>
          <w:trHeight w:hRule="exact" w:val="300"/>
          <w:jc w:val="center"/>
        </w:trPr>
        <w:tc>
          <w:tcPr>
            <w:tcW w:w="5400" w:type="dxa"/>
            <w:tcBorders>
              <w:top w:val="nil"/>
              <w:left w:val="nil"/>
              <w:bottom w:val="nil"/>
              <w:right w:val="nil"/>
            </w:tcBorders>
            <w:tcMar>
              <w:top w:w="0" w:type="dxa"/>
              <w:left w:w="0" w:type="dxa"/>
              <w:bottom w:w="0" w:type="dxa"/>
              <w:right w:w="0" w:type="dxa"/>
            </w:tcMar>
            <w:vAlign w:val="bottom"/>
          </w:tcPr>
          <w:p w14:paraId="7F5B20B3" w14:textId="77777777" w:rsidR="00D0338B" w:rsidRDefault="00D0338B">
            <w:pPr>
              <w:keepNext/>
            </w:pPr>
          </w:p>
        </w:tc>
        <w:tc>
          <w:tcPr>
            <w:tcW w:w="2475" w:type="dxa"/>
            <w:gridSpan w:val="7"/>
            <w:tcBorders>
              <w:top w:val="nil"/>
              <w:left w:val="nil"/>
              <w:bottom w:val="single" w:sz="8" w:space="0" w:color="000000"/>
              <w:right w:val="nil"/>
            </w:tcBorders>
            <w:tcMar>
              <w:top w:w="0" w:type="dxa"/>
              <w:left w:w="53" w:type="dxa"/>
              <w:bottom w:w="0" w:type="dxa"/>
              <w:right w:w="15" w:type="dxa"/>
            </w:tcMar>
            <w:vAlign w:val="center"/>
          </w:tcPr>
          <w:p w14:paraId="660275DA" w14:textId="77777777" w:rsidR="00D0338B" w:rsidRDefault="00DB7EA0">
            <w:pPr>
              <w:keepNext/>
              <w:jc w:val="center"/>
            </w:pPr>
            <w:r>
              <w:rPr>
                <w:b/>
                <w:color w:val="333333"/>
                <w:sz w:val="22"/>
              </w:rPr>
              <w:t>4th Quarter</w:t>
            </w:r>
          </w:p>
        </w:tc>
        <w:tc>
          <w:tcPr>
            <w:tcW w:w="75" w:type="dxa"/>
            <w:tcBorders>
              <w:top w:val="nil"/>
              <w:left w:val="nil"/>
              <w:bottom w:val="nil"/>
              <w:right w:val="nil"/>
            </w:tcBorders>
            <w:tcMar>
              <w:top w:w="0" w:type="dxa"/>
              <w:left w:w="0" w:type="dxa"/>
              <w:bottom w:w="0" w:type="dxa"/>
              <w:right w:w="0" w:type="dxa"/>
            </w:tcMar>
            <w:vAlign w:val="bottom"/>
          </w:tcPr>
          <w:p w14:paraId="07700BBC" w14:textId="77777777" w:rsidR="00D0338B" w:rsidRDefault="00D0338B">
            <w:pPr>
              <w:keepNext/>
            </w:pPr>
          </w:p>
        </w:tc>
        <w:tc>
          <w:tcPr>
            <w:tcW w:w="2475" w:type="dxa"/>
            <w:gridSpan w:val="7"/>
            <w:tcBorders>
              <w:top w:val="nil"/>
              <w:left w:val="nil"/>
              <w:bottom w:val="single" w:sz="8" w:space="0" w:color="000000"/>
              <w:right w:val="nil"/>
            </w:tcBorders>
            <w:tcMar>
              <w:top w:w="0" w:type="dxa"/>
              <w:left w:w="53" w:type="dxa"/>
              <w:bottom w:w="0" w:type="dxa"/>
              <w:right w:w="15" w:type="dxa"/>
            </w:tcMar>
            <w:vAlign w:val="center"/>
          </w:tcPr>
          <w:p w14:paraId="707ECF1C" w14:textId="77777777" w:rsidR="00D0338B" w:rsidRDefault="00DB7EA0">
            <w:pPr>
              <w:keepNext/>
              <w:jc w:val="center"/>
            </w:pPr>
            <w:r>
              <w:rPr>
                <w:b/>
                <w:color w:val="333333"/>
                <w:sz w:val="22"/>
              </w:rPr>
              <w:t>Year</w:t>
            </w:r>
          </w:p>
        </w:tc>
      </w:tr>
      <w:tr w:rsidR="00D0338B" w14:paraId="5523D790" w14:textId="77777777">
        <w:trPr>
          <w:cantSplit/>
          <w:trHeight w:hRule="exact" w:val="300"/>
          <w:jc w:val="center"/>
        </w:trPr>
        <w:tc>
          <w:tcPr>
            <w:tcW w:w="5400" w:type="dxa"/>
            <w:tcBorders>
              <w:top w:val="nil"/>
              <w:left w:val="nil"/>
              <w:bottom w:val="nil"/>
              <w:right w:val="nil"/>
            </w:tcBorders>
            <w:tcMar>
              <w:top w:w="0" w:type="dxa"/>
              <w:left w:w="0" w:type="dxa"/>
              <w:bottom w:w="0" w:type="dxa"/>
              <w:right w:w="0" w:type="dxa"/>
            </w:tcMar>
            <w:vAlign w:val="bottom"/>
          </w:tcPr>
          <w:p w14:paraId="60273142" w14:textId="77777777" w:rsidR="00D0338B" w:rsidRDefault="00D0338B">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center"/>
          </w:tcPr>
          <w:p w14:paraId="5A99AAF5" w14:textId="77777777" w:rsidR="00D0338B" w:rsidRDefault="00DB7EA0">
            <w:pPr>
              <w:keepNext/>
              <w:jc w:val="center"/>
            </w:pPr>
            <w:r>
              <w:rPr>
                <w:b/>
                <w:color w:val="333333"/>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4406E1E" w14:textId="77777777" w:rsidR="00D0338B" w:rsidRDefault="00D0338B">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46CD4B11" w14:textId="77777777" w:rsidR="00D0338B" w:rsidRDefault="00DB7EA0">
            <w:pPr>
              <w:keepNext/>
              <w:jc w:val="center"/>
            </w:pPr>
            <w:r>
              <w:rPr>
                <w:b/>
                <w:color w:val="333333"/>
                <w:sz w:val="22"/>
              </w:rPr>
              <w:t>2019</w:t>
            </w:r>
          </w:p>
        </w:tc>
        <w:tc>
          <w:tcPr>
            <w:tcW w:w="75" w:type="dxa"/>
            <w:tcBorders>
              <w:top w:val="nil"/>
              <w:left w:val="nil"/>
              <w:bottom w:val="nil"/>
              <w:right w:val="nil"/>
            </w:tcBorders>
            <w:tcMar>
              <w:top w:w="0" w:type="dxa"/>
              <w:left w:w="0" w:type="dxa"/>
              <w:bottom w:w="0" w:type="dxa"/>
              <w:right w:w="0" w:type="dxa"/>
            </w:tcMar>
            <w:vAlign w:val="bottom"/>
          </w:tcPr>
          <w:p w14:paraId="4CC5A0AB" w14:textId="77777777" w:rsidR="00D0338B" w:rsidRDefault="00D0338B">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center"/>
          </w:tcPr>
          <w:p w14:paraId="54B1A3A0" w14:textId="77777777" w:rsidR="00D0338B" w:rsidRDefault="00DB7EA0">
            <w:pPr>
              <w:keepNext/>
              <w:jc w:val="center"/>
            </w:pPr>
            <w:r>
              <w:rPr>
                <w:b/>
                <w:color w:val="333333"/>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DDF135B" w14:textId="77777777" w:rsidR="00D0338B" w:rsidRDefault="00D0338B">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31F668EB" w14:textId="77777777" w:rsidR="00D0338B" w:rsidRDefault="00DB7EA0">
            <w:pPr>
              <w:keepNext/>
              <w:jc w:val="center"/>
            </w:pPr>
            <w:r>
              <w:rPr>
                <w:b/>
                <w:color w:val="333333"/>
                <w:sz w:val="22"/>
              </w:rPr>
              <w:t>2019</w:t>
            </w:r>
          </w:p>
        </w:tc>
      </w:tr>
      <w:tr w:rsidR="00D0338B" w14:paraId="3885E196" w14:textId="77777777">
        <w:trPr>
          <w:cantSplit/>
          <w:trHeight w:hRule="exact" w:val="300"/>
          <w:jc w:val="center"/>
        </w:trPr>
        <w:tc>
          <w:tcPr>
            <w:tcW w:w="5400" w:type="dxa"/>
            <w:tcBorders>
              <w:top w:val="nil"/>
              <w:left w:val="nil"/>
              <w:bottom w:val="nil"/>
              <w:right w:val="nil"/>
            </w:tcBorders>
            <w:tcMar>
              <w:top w:w="0" w:type="dxa"/>
              <w:left w:w="53" w:type="dxa"/>
              <w:bottom w:w="0" w:type="dxa"/>
              <w:right w:w="53" w:type="dxa"/>
            </w:tcMar>
            <w:vAlign w:val="center"/>
          </w:tcPr>
          <w:p w14:paraId="5B118122" w14:textId="77777777" w:rsidR="00D0338B" w:rsidRDefault="00DB7EA0">
            <w:pPr>
              <w:keepNext/>
            </w:pPr>
            <w:r>
              <w:rPr>
                <w:b/>
                <w:color w:val="000000"/>
                <w:sz w:val="22"/>
              </w:rPr>
              <w:t>Special items benefit (expense)</w:t>
            </w: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4993DCAD"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4885C532"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4EEADBAA"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2F9F40F"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6A149B1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38FCC87"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2EA62FD6" w14:textId="77777777" w:rsidR="00D0338B" w:rsidRDefault="00D0338B">
            <w:pPr>
              <w:keepNext/>
            </w:pPr>
          </w:p>
        </w:tc>
      </w:tr>
      <w:tr w:rsidR="00D0338B" w14:paraId="66437A35"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032BFDDB" w14:textId="77777777" w:rsidR="00D0338B" w:rsidRDefault="00DB7EA0">
            <w:pPr>
              <w:keepNext/>
            </w:pPr>
            <w:r>
              <w:rPr>
                <w:color w:val="000000"/>
                <w:sz w:val="22"/>
              </w:rPr>
              <w:t>U.K. Regulated</w:t>
            </w: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49B65D2D"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74215E0A" w14:textId="77777777" w:rsidR="00D0338B" w:rsidRDefault="00DB7EA0">
            <w:pPr>
              <w:keepNext/>
              <w:jc w:val="right"/>
            </w:pPr>
            <w:r>
              <w:rPr>
                <w:color w:val="000000"/>
                <w:sz w:val="20"/>
              </w:rPr>
              <w:t>(0.19)</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F219C8B"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7F6487"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3D405554"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68163986" w14:textId="77777777" w:rsidR="00D0338B" w:rsidRDefault="00DB7EA0">
            <w:pPr>
              <w:keepNext/>
              <w:jc w:val="right"/>
            </w:pPr>
            <w:r>
              <w:rPr>
                <w:color w:val="000000"/>
                <w:sz w:val="20"/>
              </w:rPr>
              <w:t>(0.09)</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7A9CADB"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D81319"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076149E7"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3A5CCFA7" w14:textId="77777777" w:rsidR="00D0338B" w:rsidRDefault="00DB7EA0">
            <w:pPr>
              <w:keepNext/>
              <w:jc w:val="right"/>
            </w:pPr>
            <w:r>
              <w:rPr>
                <w:color w:val="000000"/>
                <w:sz w:val="20"/>
              </w:rPr>
              <w:t>(0.44)</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1596FE01"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9B3903"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49E72153"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42F642F2" w14:textId="77777777" w:rsidR="00D0338B" w:rsidRDefault="00DB7EA0">
            <w:pPr>
              <w:keepNext/>
              <w:jc w:val="right"/>
            </w:pPr>
            <w:r>
              <w:rPr>
                <w:color w:val="000000"/>
                <w:sz w:val="20"/>
              </w:rPr>
              <w:t>(0.07)</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7C7316ED" w14:textId="77777777" w:rsidR="00D0338B" w:rsidRDefault="00D0338B">
            <w:pPr>
              <w:keepNext/>
              <w:jc w:val="right"/>
            </w:pPr>
          </w:p>
        </w:tc>
      </w:tr>
      <w:tr w:rsidR="00D0338B" w14:paraId="17FDCDE7" w14:textId="77777777">
        <w:trPr>
          <w:cantSplit/>
          <w:trHeight w:hRule="exact" w:val="315"/>
          <w:jc w:val="center"/>
        </w:trPr>
        <w:tc>
          <w:tcPr>
            <w:tcW w:w="5400" w:type="dxa"/>
            <w:tcBorders>
              <w:top w:val="nil"/>
              <w:left w:val="nil"/>
              <w:bottom w:val="nil"/>
              <w:right w:val="nil"/>
            </w:tcBorders>
            <w:shd w:val="clear" w:color="auto" w:fill="FFFFFF"/>
            <w:tcMar>
              <w:top w:w="0" w:type="dxa"/>
              <w:left w:w="53" w:type="dxa"/>
              <w:bottom w:w="0" w:type="dxa"/>
              <w:right w:w="53" w:type="dxa"/>
            </w:tcMar>
            <w:vAlign w:val="center"/>
          </w:tcPr>
          <w:p w14:paraId="45B423B0" w14:textId="77777777" w:rsidR="00D0338B" w:rsidRDefault="00DB7EA0">
            <w:pPr>
              <w:keepNext/>
            </w:pPr>
            <w:r>
              <w:rPr>
                <w:color w:val="000000"/>
                <w:sz w:val="22"/>
              </w:rPr>
              <w:t>Kentucky Regulated</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2AC9E803"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ED68319"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701EEA"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365EBFC4"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BEF83FD"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A76D2E"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581469AE" w14:textId="77777777" w:rsidR="00D0338B" w:rsidRDefault="00DB7EA0">
            <w:pPr>
              <w:keepNext/>
              <w:jc w:val="right"/>
            </w:pPr>
            <w:r>
              <w:rPr>
                <w:color w:val="000000"/>
                <w:sz w:val="20"/>
              </w:rPr>
              <w:t>(0.01)</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2272E9A"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337D1F"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5653EA6C"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C551B1B" w14:textId="77777777" w:rsidR="00D0338B" w:rsidRDefault="00D0338B">
            <w:pPr>
              <w:keepNext/>
              <w:jc w:val="right"/>
            </w:pPr>
          </w:p>
        </w:tc>
      </w:tr>
      <w:tr w:rsidR="00D0338B" w14:paraId="7D3D5483"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7ED0CA64" w14:textId="77777777" w:rsidR="00D0338B" w:rsidRDefault="00DB7EA0">
            <w:pPr>
              <w:keepNext/>
            </w:pPr>
            <w:r>
              <w:rPr>
                <w:color w:val="000000"/>
                <w:sz w:val="22"/>
              </w:rPr>
              <w:t>Pennsylvania Regulated</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2AF1565D"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78B0754"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A4D750"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7DE501EF"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58820FD"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666ACA"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0E1BC245"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9F88058"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60A169"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6F1D1322"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973DEF6" w14:textId="77777777" w:rsidR="00D0338B" w:rsidRDefault="00D0338B">
            <w:pPr>
              <w:keepNext/>
              <w:jc w:val="right"/>
            </w:pPr>
          </w:p>
        </w:tc>
      </w:tr>
      <w:tr w:rsidR="00D0338B" w14:paraId="339D62B8" w14:textId="77777777">
        <w:trPr>
          <w:cantSplit/>
          <w:trHeight w:hRule="exact" w:val="315"/>
          <w:jc w:val="center"/>
        </w:trPr>
        <w:tc>
          <w:tcPr>
            <w:tcW w:w="5400" w:type="dxa"/>
            <w:tcBorders>
              <w:top w:val="nil"/>
              <w:left w:val="nil"/>
              <w:bottom w:val="nil"/>
              <w:right w:val="nil"/>
            </w:tcBorders>
            <w:shd w:val="clear" w:color="auto" w:fill="FFFFFF"/>
            <w:tcMar>
              <w:top w:w="0" w:type="dxa"/>
              <w:left w:w="53" w:type="dxa"/>
              <w:bottom w:w="0" w:type="dxa"/>
              <w:right w:w="53" w:type="dxa"/>
            </w:tcMar>
            <w:vAlign w:val="center"/>
          </w:tcPr>
          <w:p w14:paraId="34E01AEE" w14:textId="77777777" w:rsidR="00D0338B" w:rsidRDefault="00DB7EA0">
            <w:pPr>
              <w:keepNext/>
            </w:pPr>
            <w:r>
              <w:rPr>
                <w:color w:val="000000"/>
                <w:sz w:val="22"/>
              </w:rPr>
              <w:t>Corporate &amp; Other</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1475E153" w14:textId="77777777" w:rsidR="00D0338B" w:rsidRDefault="00DB7EA0">
            <w:pPr>
              <w:keepNext/>
              <w:jc w:val="right"/>
            </w:pPr>
            <w:r>
              <w:rPr>
                <w:color w:val="000000"/>
                <w:sz w:val="20"/>
              </w:rPr>
              <w:t>(0.02)</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951DDD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B8F6F2"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66E67A54" w14:textId="77777777" w:rsidR="00D0338B" w:rsidRDefault="00DB7EA0">
            <w:pPr>
              <w:keepNext/>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2EFCF3E"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EE587D"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36C57A85" w14:textId="77777777" w:rsidR="00D0338B" w:rsidRDefault="00DB7EA0">
            <w:pPr>
              <w:keepNext/>
              <w:jc w:val="right"/>
            </w:pPr>
            <w:r>
              <w:rPr>
                <w:color w:val="000000"/>
                <w:sz w:val="20"/>
              </w:rPr>
              <w:t>(0.04)</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0FA0241"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354B76"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719CAB28" w14:textId="77777777" w:rsidR="00D0338B" w:rsidRDefault="00DB7EA0">
            <w:pPr>
              <w:keepNext/>
              <w:jc w:val="right"/>
            </w:pPr>
            <w:r>
              <w:rPr>
                <w:color w:val="000000"/>
                <w:sz w:val="20"/>
              </w:rPr>
              <w:t>(0.01)</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25F0DB3" w14:textId="77777777" w:rsidR="00D0338B" w:rsidRDefault="00D0338B">
            <w:pPr>
              <w:keepNext/>
              <w:jc w:val="right"/>
            </w:pPr>
          </w:p>
        </w:tc>
      </w:tr>
      <w:tr w:rsidR="00D0338B" w14:paraId="2E487293"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37E10CC1" w14:textId="77777777" w:rsidR="00D0338B" w:rsidRDefault="00DB7EA0">
            <w:pPr>
              <w:ind w:left="135"/>
            </w:pPr>
            <w:r>
              <w:rPr>
                <w:color w:val="000000"/>
                <w:sz w:val="22"/>
              </w:rPr>
              <w:t>Total Special Items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4FB30EC5"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234A806C" w14:textId="77777777" w:rsidR="00D0338B" w:rsidRDefault="00DB7EA0">
            <w:pPr>
              <w:jc w:val="right"/>
            </w:pPr>
            <w:r>
              <w:rPr>
                <w:color w:val="000000"/>
                <w:sz w:val="20"/>
              </w:rPr>
              <w:t>(0.21)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7C2D7570"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FF5174"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3BE4D470"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54B6ABEC" w14:textId="77777777" w:rsidR="00D0338B" w:rsidRDefault="00DB7EA0">
            <w:pPr>
              <w:jc w:val="right"/>
            </w:pPr>
            <w:r>
              <w:rPr>
                <w:color w:val="000000"/>
                <w:sz w:val="20"/>
              </w:rPr>
              <w:t>(0.09)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7EEE5166"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B5C000"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329382EA"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60120659" w14:textId="77777777" w:rsidR="00D0338B" w:rsidRDefault="00DB7EA0">
            <w:pPr>
              <w:jc w:val="right"/>
            </w:pPr>
            <w:r>
              <w:rPr>
                <w:color w:val="000000"/>
                <w:sz w:val="20"/>
              </w:rPr>
              <w:t>(0.49)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2E8A7F24"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3C56C2"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2FD8F950"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31E14BAE" w14:textId="77777777" w:rsidR="00D0338B" w:rsidRDefault="00DB7EA0">
            <w:pPr>
              <w:jc w:val="right"/>
            </w:pPr>
            <w:r>
              <w:rPr>
                <w:color w:val="000000"/>
                <w:sz w:val="20"/>
              </w:rPr>
              <w:t>(0.08)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2B210EFB" w14:textId="77777777" w:rsidR="00D0338B" w:rsidRDefault="00D0338B">
            <w:pPr>
              <w:jc w:val="right"/>
            </w:pPr>
          </w:p>
        </w:tc>
      </w:tr>
    </w:tbl>
    <w:p w14:paraId="2C603E81" w14:textId="77777777" w:rsidR="00A77B3E" w:rsidRDefault="00A77B3E">
      <w:pPr>
        <w:keepNext/>
        <w:keepLines/>
        <w:widowControl w:val="0"/>
        <w:tabs>
          <w:tab w:val="left" w:pos="1440"/>
          <w:tab w:val="left" w:pos="5040"/>
          <w:tab w:val="left" w:pos="5760"/>
          <w:tab w:val="left" w:pos="6480"/>
          <w:tab w:val="left" w:pos="7200"/>
          <w:tab w:val="left" w:pos="7920"/>
          <w:tab w:val="left" w:pos="8640"/>
          <w:tab w:val="left" w:pos="9360"/>
          <w:tab w:val="left" w:pos="10080"/>
          <w:tab w:val="left" w:pos="10800"/>
          <w:tab w:val="left" w:pos="11520"/>
        </w:tabs>
        <w:spacing w:after="100" w:line="288" w:lineRule="auto"/>
        <w:jc w:val="center"/>
        <w:rPr>
          <w:sz w:val="10"/>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163"/>
        <w:gridCol w:w="959"/>
        <w:gridCol w:w="102"/>
        <w:gridCol w:w="77"/>
        <w:gridCol w:w="163"/>
        <w:gridCol w:w="959"/>
        <w:gridCol w:w="102"/>
        <w:gridCol w:w="77"/>
        <w:gridCol w:w="163"/>
        <w:gridCol w:w="959"/>
        <w:gridCol w:w="102"/>
        <w:gridCol w:w="77"/>
        <w:gridCol w:w="163"/>
        <w:gridCol w:w="959"/>
        <w:gridCol w:w="102"/>
      </w:tblGrid>
      <w:tr w:rsidR="00D0338B" w14:paraId="7B712F9A" w14:textId="77777777">
        <w:trPr>
          <w:cantSplit/>
          <w:trHeight w:hRule="exact" w:val="300"/>
          <w:jc w:val="center"/>
        </w:trPr>
        <w:tc>
          <w:tcPr>
            <w:tcW w:w="5400" w:type="dxa"/>
            <w:tcBorders>
              <w:top w:val="nil"/>
              <w:left w:val="nil"/>
              <w:bottom w:val="nil"/>
              <w:right w:val="nil"/>
            </w:tcBorders>
            <w:tcMar>
              <w:top w:w="0" w:type="dxa"/>
              <w:left w:w="0" w:type="dxa"/>
              <w:bottom w:w="0" w:type="dxa"/>
              <w:right w:w="0" w:type="dxa"/>
            </w:tcMar>
            <w:vAlign w:val="bottom"/>
          </w:tcPr>
          <w:p w14:paraId="034AB12F" w14:textId="77777777" w:rsidR="00D0338B" w:rsidRDefault="00D0338B">
            <w:pPr>
              <w:keepNext/>
            </w:pPr>
          </w:p>
        </w:tc>
        <w:tc>
          <w:tcPr>
            <w:tcW w:w="2475" w:type="dxa"/>
            <w:gridSpan w:val="7"/>
            <w:tcBorders>
              <w:top w:val="nil"/>
              <w:left w:val="nil"/>
              <w:bottom w:val="single" w:sz="8" w:space="0" w:color="000000"/>
              <w:right w:val="nil"/>
            </w:tcBorders>
            <w:tcMar>
              <w:top w:w="0" w:type="dxa"/>
              <w:left w:w="53" w:type="dxa"/>
              <w:bottom w:w="0" w:type="dxa"/>
              <w:right w:w="15" w:type="dxa"/>
            </w:tcMar>
            <w:vAlign w:val="center"/>
          </w:tcPr>
          <w:p w14:paraId="637C1524" w14:textId="77777777" w:rsidR="00D0338B" w:rsidRDefault="00DB7EA0">
            <w:pPr>
              <w:keepNext/>
              <w:jc w:val="center"/>
            </w:pPr>
            <w:r>
              <w:rPr>
                <w:b/>
                <w:color w:val="333333"/>
                <w:sz w:val="22"/>
              </w:rPr>
              <w:t>4th Quarter</w:t>
            </w:r>
          </w:p>
        </w:tc>
        <w:tc>
          <w:tcPr>
            <w:tcW w:w="75" w:type="dxa"/>
            <w:tcBorders>
              <w:top w:val="nil"/>
              <w:left w:val="nil"/>
              <w:bottom w:val="nil"/>
              <w:right w:val="nil"/>
            </w:tcBorders>
            <w:tcMar>
              <w:top w:w="0" w:type="dxa"/>
              <w:left w:w="0" w:type="dxa"/>
              <w:bottom w:w="0" w:type="dxa"/>
              <w:right w:w="0" w:type="dxa"/>
            </w:tcMar>
            <w:vAlign w:val="bottom"/>
          </w:tcPr>
          <w:p w14:paraId="2A43E158" w14:textId="77777777" w:rsidR="00D0338B" w:rsidRDefault="00D0338B">
            <w:pPr>
              <w:keepNext/>
            </w:pPr>
          </w:p>
        </w:tc>
        <w:tc>
          <w:tcPr>
            <w:tcW w:w="2475" w:type="dxa"/>
            <w:gridSpan w:val="7"/>
            <w:tcBorders>
              <w:top w:val="nil"/>
              <w:left w:val="nil"/>
              <w:bottom w:val="single" w:sz="8" w:space="0" w:color="000000"/>
              <w:right w:val="nil"/>
            </w:tcBorders>
            <w:tcMar>
              <w:top w:w="0" w:type="dxa"/>
              <w:left w:w="53" w:type="dxa"/>
              <w:bottom w:w="0" w:type="dxa"/>
              <w:right w:w="15" w:type="dxa"/>
            </w:tcMar>
            <w:vAlign w:val="center"/>
          </w:tcPr>
          <w:p w14:paraId="0928C098" w14:textId="77777777" w:rsidR="00D0338B" w:rsidRDefault="00DB7EA0">
            <w:pPr>
              <w:keepNext/>
              <w:jc w:val="center"/>
            </w:pPr>
            <w:r>
              <w:rPr>
                <w:b/>
                <w:color w:val="333333"/>
                <w:sz w:val="22"/>
              </w:rPr>
              <w:t>Year</w:t>
            </w:r>
          </w:p>
        </w:tc>
      </w:tr>
      <w:tr w:rsidR="00D0338B" w14:paraId="377A90E4" w14:textId="77777777">
        <w:trPr>
          <w:cantSplit/>
          <w:trHeight w:hRule="exact" w:val="300"/>
          <w:jc w:val="center"/>
        </w:trPr>
        <w:tc>
          <w:tcPr>
            <w:tcW w:w="5400" w:type="dxa"/>
            <w:tcBorders>
              <w:top w:val="nil"/>
              <w:left w:val="nil"/>
              <w:bottom w:val="nil"/>
              <w:right w:val="nil"/>
            </w:tcBorders>
            <w:tcMar>
              <w:top w:w="0" w:type="dxa"/>
              <w:left w:w="0" w:type="dxa"/>
              <w:bottom w:w="0" w:type="dxa"/>
              <w:right w:w="0" w:type="dxa"/>
            </w:tcMar>
            <w:vAlign w:val="bottom"/>
          </w:tcPr>
          <w:p w14:paraId="403C237A" w14:textId="77777777" w:rsidR="00D0338B" w:rsidRDefault="00D0338B">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center"/>
          </w:tcPr>
          <w:p w14:paraId="5E29D4F6" w14:textId="77777777" w:rsidR="00D0338B" w:rsidRDefault="00DB7EA0">
            <w:pPr>
              <w:keepNext/>
              <w:jc w:val="center"/>
            </w:pPr>
            <w:r>
              <w:rPr>
                <w:b/>
                <w:color w:val="333333"/>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5DBD2D0" w14:textId="77777777" w:rsidR="00D0338B" w:rsidRDefault="00D0338B">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5D332930" w14:textId="77777777" w:rsidR="00D0338B" w:rsidRDefault="00DB7EA0">
            <w:pPr>
              <w:keepNext/>
              <w:jc w:val="center"/>
            </w:pPr>
            <w:r>
              <w:rPr>
                <w:b/>
                <w:color w:val="333333"/>
                <w:sz w:val="22"/>
              </w:rPr>
              <w:t>2019</w:t>
            </w:r>
          </w:p>
        </w:tc>
        <w:tc>
          <w:tcPr>
            <w:tcW w:w="75" w:type="dxa"/>
            <w:tcBorders>
              <w:top w:val="nil"/>
              <w:left w:val="nil"/>
              <w:bottom w:val="nil"/>
              <w:right w:val="nil"/>
            </w:tcBorders>
            <w:tcMar>
              <w:top w:w="0" w:type="dxa"/>
              <w:left w:w="0" w:type="dxa"/>
              <w:bottom w:w="0" w:type="dxa"/>
              <w:right w:w="0" w:type="dxa"/>
            </w:tcMar>
            <w:vAlign w:val="bottom"/>
          </w:tcPr>
          <w:p w14:paraId="0EBFF60D" w14:textId="77777777" w:rsidR="00D0338B" w:rsidRDefault="00D0338B">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center"/>
          </w:tcPr>
          <w:p w14:paraId="754EFB81" w14:textId="77777777" w:rsidR="00D0338B" w:rsidRDefault="00DB7EA0">
            <w:pPr>
              <w:keepNext/>
              <w:jc w:val="center"/>
            </w:pPr>
            <w:r>
              <w:rPr>
                <w:b/>
                <w:color w:val="333333"/>
                <w:sz w:val="22"/>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2137933" w14:textId="77777777" w:rsidR="00D0338B" w:rsidRDefault="00D0338B">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701D84BF" w14:textId="77777777" w:rsidR="00D0338B" w:rsidRDefault="00DB7EA0">
            <w:pPr>
              <w:keepNext/>
              <w:jc w:val="center"/>
            </w:pPr>
            <w:r>
              <w:rPr>
                <w:b/>
                <w:color w:val="333333"/>
                <w:sz w:val="22"/>
              </w:rPr>
              <w:t>2019</w:t>
            </w:r>
          </w:p>
        </w:tc>
      </w:tr>
      <w:tr w:rsidR="00D0338B" w14:paraId="005AF54F" w14:textId="77777777">
        <w:trPr>
          <w:cantSplit/>
          <w:trHeight w:hRule="exact" w:val="300"/>
          <w:jc w:val="center"/>
        </w:trPr>
        <w:tc>
          <w:tcPr>
            <w:tcW w:w="5400" w:type="dxa"/>
            <w:tcBorders>
              <w:top w:val="nil"/>
              <w:left w:val="nil"/>
              <w:bottom w:val="nil"/>
              <w:right w:val="nil"/>
            </w:tcBorders>
            <w:tcMar>
              <w:top w:w="0" w:type="dxa"/>
              <w:left w:w="53" w:type="dxa"/>
              <w:bottom w:w="0" w:type="dxa"/>
              <w:right w:w="53" w:type="dxa"/>
            </w:tcMar>
            <w:vAlign w:val="center"/>
          </w:tcPr>
          <w:p w14:paraId="74155E41" w14:textId="77777777" w:rsidR="00D0338B" w:rsidRDefault="00DB7EA0">
            <w:pPr>
              <w:keepNext/>
            </w:pPr>
            <w:r>
              <w:rPr>
                <w:b/>
                <w:color w:val="000000"/>
                <w:sz w:val="22"/>
              </w:rPr>
              <w:t>Earnings from Ongoing Operations</w:t>
            </w: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72CDE53D"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5FE0384A"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37DC54B6"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AAA9E30"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1E8369A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2784FA8" w14:textId="77777777" w:rsidR="00D0338B" w:rsidRDefault="00D0338B">
            <w:pPr>
              <w:keepNext/>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14:paraId="4C94B7C6" w14:textId="77777777" w:rsidR="00D0338B" w:rsidRDefault="00D0338B">
            <w:pPr>
              <w:keepNext/>
            </w:pPr>
          </w:p>
        </w:tc>
      </w:tr>
      <w:tr w:rsidR="00D0338B" w14:paraId="12350A76"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3C818B07" w14:textId="77777777" w:rsidR="00D0338B" w:rsidRDefault="00DB7EA0">
            <w:pPr>
              <w:keepNext/>
            </w:pPr>
            <w:r>
              <w:rPr>
                <w:color w:val="000000"/>
                <w:sz w:val="22"/>
              </w:rPr>
              <w:t>U.K. Regulated</w:t>
            </w: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50BF4F47"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565146CF" w14:textId="77777777" w:rsidR="00D0338B" w:rsidRDefault="00DB7EA0">
            <w:pPr>
              <w:keepNext/>
              <w:jc w:val="right"/>
            </w:pPr>
            <w:r>
              <w:rPr>
                <w:color w:val="000000"/>
                <w:sz w:val="20"/>
              </w:rPr>
              <w:t>0.34 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716623F"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C3C5B6"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71847AC8"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0267362F" w14:textId="77777777" w:rsidR="00D0338B" w:rsidRDefault="00DB7EA0">
            <w:pPr>
              <w:keepNext/>
              <w:jc w:val="right"/>
            </w:pPr>
            <w:r>
              <w:rPr>
                <w:color w:val="000000"/>
                <w:sz w:val="20"/>
              </w:rPr>
              <w:t>0.35 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C965AE7"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2A21BE"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4E5D4DFD"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6C85C630" w14:textId="77777777" w:rsidR="00D0338B" w:rsidRDefault="00DB7EA0">
            <w:pPr>
              <w:keepNext/>
              <w:jc w:val="right"/>
            </w:pPr>
            <w:r>
              <w:rPr>
                <w:color w:val="000000"/>
                <w:sz w:val="20"/>
              </w:rPr>
              <w:t>1.33 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3111320"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179DD9"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220F64E7" w14:textId="77777777" w:rsidR="00D0338B" w:rsidRDefault="00DB7EA0">
            <w:pPr>
              <w:keepNext/>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center"/>
          </w:tcPr>
          <w:p w14:paraId="439EA7F1" w14:textId="77777777" w:rsidR="00D0338B" w:rsidRDefault="00DB7EA0">
            <w:pPr>
              <w:keepNext/>
              <w:jc w:val="right"/>
            </w:pPr>
            <w:r>
              <w:rPr>
                <w:color w:val="000000"/>
                <w:sz w:val="20"/>
              </w:rPr>
              <w:t>1.40 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89DA0F8" w14:textId="77777777" w:rsidR="00D0338B" w:rsidRDefault="00D0338B">
            <w:pPr>
              <w:keepNext/>
              <w:jc w:val="right"/>
            </w:pPr>
          </w:p>
        </w:tc>
      </w:tr>
      <w:tr w:rsidR="00D0338B" w14:paraId="22FE5EAB" w14:textId="77777777">
        <w:trPr>
          <w:cantSplit/>
          <w:trHeight w:hRule="exact" w:val="315"/>
          <w:jc w:val="center"/>
        </w:trPr>
        <w:tc>
          <w:tcPr>
            <w:tcW w:w="5400" w:type="dxa"/>
            <w:tcBorders>
              <w:top w:val="nil"/>
              <w:left w:val="nil"/>
              <w:bottom w:val="nil"/>
              <w:right w:val="nil"/>
            </w:tcBorders>
            <w:shd w:val="clear" w:color="auto" w:fill="FFFFFF"/>
            <w:tcMar>
              <w:top w:w="0" w:type="dxa"/>
              <w:left w:w="53" w:type="dxa"/>
              <w:bottom w:w="0" w:type="dxa"/>
              <w:right w:w="53" w:type="dxa"/>
            </w:tcMar>
            <w:vAlign w:val="center"/>
          </w:tcPr>
          <w:p w14:paraId="17DF0578" w14:textId="77777777" w:rsidR="00D0338B" w:rsidRDefault="00DB7EA0">
            <w:pPr>
              <w:keepNext/>
            </w:pPr>
            <w:r>
              <w:rPr>
                <w:color w:val="000000"/>
                <w:sz w:val="22"/>
              </w:rPr>
              <w:t>Kentucky Regulated</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61E193B3" w14:textId="77777777" w:rsidR="00D0338B" w:rsidRDefault="00DB7EA0">
            <w:pPr>
              <w:keepNext/>
              <w:jc w:val="right"/>
            </w:pPr>
            <w:r>
              <w:rPr>
                <w:color w:val="000000"/>
                <w:sz w:val="20"/>
              </w:rPr>
              <w:t>0.11 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5EC2254"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EDC45C"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3292E114" w14:textId="77777777" w:rsidR="00D0338B" w:rsidRDefault="00DB7EA0">
            <w:pPr>
              <w:keepNext/>
              <w:jc w:val="right"/>
            </w:pPr>
            <w:r>
              <w:rPr>
                <w:color w:val="000000"/>
                <w:sz w:val="20"/>
              </w:rPr>
              <w:t>0.10 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7D18638"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16F6E6"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280AA641" w14:textId="77777777" w:rsidR="00D0338B" w:rsidRDefault="00DB7EA0">
            <w:pPr>
              <w:keepNext/>
              <w:jc w:val="right"/>
            </w:pPr>
            <w:r>
              <w:rPr>
                <w:color w:val="000000"/>
                <w:sz w:val="20"/>
              </w:rPr>
              <w:t>0.55 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B98D724"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825D83"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314A57D6" w14:textId="77777777" w:rsidR="00D0338B" w:rsidRDefault="00DB7EA0">
            <w:pPr>
              <w:keepNext/>
              <w:jc w:val="right"/>
            </w:pPr>
            <w:r>
              <w:rPr>
                <w:color w:val="000000"/>
                <w:sz w:val="20"/>
              </w:rPr>
              <w:t>0.59 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C18804A" w14:textId="77777777" w:rsidR="00D0338B" w:rsidRDefault="00D0338B">
            <w:pPr>
              <w:keepNext/>
              <w:jc w:val="right"/>
            </w:pPr>
          </w:p>
        </w:tc>
      </w:tr>
      <w:tr w:rsidR="00D0338B" w14:paraId="45ACCBA4"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13827A0D" w14:textId="77777777" w:rsidR="00D0338B" w:rsidRDefault="00DB7EA0">
            <w:pPr>
              <w:keepNext/>
            </w:pPr>
            <w:r>
              <w:rPr>
                <w:color w:val="000000"/>
                <w:sz w:val="22"/>
              </w:rPr>
              <w:t>Pennsylvania Regulated</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0F90F37B" w14:textId="77777777" w:rsidR="00D0338B" w:rsidRDefault="00DB7EA0">
            <w:pPr>
              <w:keepNext/>
              <w:jc w:val="right"/>
            </w:pPr>
            <w:r>
              <w:rPr>
                <w:color w:val="000000"/>
                <w:sz w:val="20"/>
              </w:rPr>
              <w:t>0.16 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6D97659"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9E04CF"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0C2B2FD3" w14:textId="77777777" w:rsidR="00D0338B" w:rsidRDefault="00DB7EA0">
            <w:pPr>
              <w:keepNext/>
              <w:jc w:val="right"/>
            </w:pPr>
            <w:r>
              <w:rPr>
                <w:color w:val="000000"/>
                <w:sz w:val="20"/>
              </w:rPr>
              <w:t>0.16 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FD67516"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56B91E"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47086B92" w14:textId="77777777" w:rsidR="00D0338B" w:rsidRDefault="00DB7EA0">
            <w:pPr>
              <w:keepNext/>
              <w:jc w:val="right"/>
            </w:pPr>
            <w:r>
              <w:rPr>
                <w:color w:val="000000"/>
                <w:sz w:val="20"/>
              </w:rPr>
              <w:t>0.65 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913984E"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C6C120" w14:textId="77777777" w:rsidR="00D0338B" w:rsidRDefault="00D0338B">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center"/>
          </w:tcPr>
          <w:p w14:paraId="36EBCBD5" w14:textId="77777777" w:rsidR="00D0338B" w:rsidRDefault="00DB7EA0">
            <w:pPr>
              <w:keepNext/>
              <w:jc w:val="right"/>
            </w:pPr>
            <w:r>
              <w:rPr>
                <w:color w:val="000000"/>
                <w:sz w:val="20"/>
              </w:rPr>
              <w:t>0.62 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EF770BD" w14:textId="77777777" w:rsidR="00D0338B" w:rsidRDefault="00D0338B">
            <w:pPr>
              <w:keepNext/>
              <w:jc w:val="right"/>
            </w:pPr>
          </w:p>
        </w:tc>
      </w:tr>
      <w:tr w:rsidR="00D0338B" w14:paraId="4F969073" w14:textId="77777777">
        <w:trPr>
          <w:cantSplit/>
          <w:trHeight w:hRule="exact" w:val="315"/>
          <w:jc w:val="center"/>
        </w:trPr>
        <w:tc>
          <w:tcPr>
            <w:tcW w:w="5400" w:type="dxa"/>
            <w:tcBorders>
              <w:top w:val="nil"/>
              <w:left w:val="nil"/>
              <w:bottom w:val="nil"/>
              <w:right w:val="nil"/>
            </w:tcBorders>
            <w:shd w:val="clear" w:color="auto" w:fill="FFFFFF"/>
            <w:tcMar>
              <w:top w:w="0" w:type="dxa"/>
              <w:left w:w="53" w:type="dxa"/>
              <w:bottom w:w="0" w:type="dxa"/>
              <w:right w:w="53" w:type="dxa"/>
            </w:tcMar>
            <w:vAlign w:val="center"/>
          </w:tcPr>
          <w:p w14:paraId="110D2946" w14:textId="77777777" w:rsidR="00D0338B" w:rsidRDefault="00DB7EA0">
            <w:pPr>
              <w:keepNext/>
            </w:pPr>
            <w:r>
              <w:rPr>
                <w:color w:val="000000"/>
                <w:sz w:val="22"/>
              </w:rPr>
              <w:t>Corporate and Other</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40F51BFA" w14:textId="77777777" w:rsidR="00D0338B" w:rsidRDefault="00DB7EA0">
            <w:pPr>
              <w:keepNext/>
              <w:jc w:val="right"/>
            </w:pPr>
            <w:r>
              <w:rPr>
                <w:color w:val="000000"/>
                <w:sz w:val="20"/>
              </w:rPr>
              <w:t>(0.02)</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63F0C7B"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CE892D"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0D71498F" w14:textId="77777777" w:rsidR="00D0338B" w:rsidRDefault="00DB7EA0">
            <w:pPr>
              <w:keepNext/>
              <w:jc w:val="right"/>
            </w:pPr>
            <w:r>
              <w:rPr>
                <w:color w:val="000000"/>
                <w:sz w:val="20"/>
              </w:rPr>
              <w:t>(0.04)</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E1FADFE"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62C835"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58A77869" w14:textId="77777777" w:rsidR="00D0338B" w:rsidRDefault="00DB7EA0">
            <w:pPr>
              <w:keepNext/>
              <w:jc w:val="right"/>
            </w:pPr>
            <w:r>
              <w:rPr>
                <w:color w:val="000000"/>
                <w:sz w:val="20"/>
              </w:rPr>
              <w:t>(0.13)</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BC34836"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B600F4" w14:textId="77777777" w:rsidR="00D0338B" w:rsidRDefault="00D0338B">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center"/>
          </w:tcPr>
          <w:p w14:paraId="4A4F7977" w14:textId="77777777" w:rsidR="00D0338B" w:rsidRDefault="00DB7EA0">
            <w:pPr>
              <w:keepNext/>
              <w:jc w:val="right"/>
            </w:pPr>
            <w:r>
              <w:rPr>
                <w:color w:val="000000"/>
                <w:sz w:val="20"/>
              </w:rPr>
              <w:t>(0.16)</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5F3A890" w14:textId="77777777" w:rsidR="00D0338B" w:rsidRDefault="00D0338B">
            <w:pPr>
              <w:keepNext/>
              <w:jc w:val="right"/>
            </w:pPr>
          </w:p>
        </w:tc>
      </w:tr>
      <w:tr w:rsidR="00D0338B" w14:paraId="37180D62" w14:textId="77777777">
        <w:trPr>
          <w:cantSplit/>
          <w:trHeight w:hRule="exact" w:val="315"/>
          <w:jc w:val="center"/>
        </w:trPr>
        <w:tc>
          <w:tcPr>
            <w:tcW w:w="5400" w:type="dxa"/>
            <w:tcBorders>
              <w:top w:val="nil"/>
              <w:left w:val="nil"/>
              <w:bottom w:val="nil"/>
              <w:right w:val="nil"/>
            </w:tcBorders>
            <w:shd w:val="clear" w:color="auto" w:fill="CCEEFF"/>
            <w:tcMar>
              <w:top w:w="0" w:type="dxa"/>
              <w:left w:w="53" w:type="dxa"/>
              <w:bottom w:w="0" w:type="dxa"/>
              <w:right w:w="53" w:type="dxa"/>
            </w:tcMar>
            <w:vAlign w:val="center"/>
          </w:tcPr>
          <w:p w14:paraId="5E307A72" w14:textId="77777777" w:rsidR="00D0338B" w:rsidRDefault="00DB7EA0">
            <w:r>
              <w:rPr>
                <w:color w:val="000000"/>
                <w:sz w:val="22"/>
              </w:rPr>
              <w:t>    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04D64C1F"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2C32F989" w14:textId="77777777" w:rsidR="00D0338B" w:rsidRDefault="00DB7EA0">
            <w:pPr>
              <w:jc w:val="right"/>
            </w:pPr>
            <w:r>
              <w:rPr>
                <w:color w:val="000000"/>
                <w:sz w:val="20"/>
              </w:rPr>
              <w:t>0.59 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3A9BC00E"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23B746"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693AB844"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0CBBFF9E" w14:textId="77777777" w:rsidR="00D0338B" w:rsidRDefault="00DB7EA0">
            <w:pPr>
              <w:jc w:val="right"/>
            </w:pPr>
            <w:r>
              <w:rPr>
                <w:color w:val="000000"/>
                <w:sz w:val="20"/>
              </w:rPr>
              <w:t>0.57 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234A0DFE"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078896"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1B0FCEFE"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48849A59" w14:textId="77777777" w:rsidR="00D0338B" w:rsidRDefault="00DB7EA0">
            <w:pPr>
              <w:jc w:val="right"/>
            </w:pPr>
            <w:r>
              <w:rPr>
                <w:color w:val="000000"/>
                <w:sz w:val="20"/>
              </w:rPr>
              <w:t>2.40 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22222B64"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E753C1"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2C84BDF9" w14:textId="77777777" w:rsidR="00D0338B" w:rsidRDefault="00DB7EA0">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7B78CF65" w14:textId="77777777" w:rsidR="00D0338B" w:rsidRDefault="00DB7EA0">
            <w:pPr>
              <w:jc w:val="right"/>
            </w:pPr>
            <w:r>
              <w:rPr>
                <w:color w:val="000000"/>
                <w:sz w:val="20"/>
              </w:rPr>
              <w:t>2.45 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64B96301" w14:textId="77777777" w:rsidR="00D0338B" w:rsidRDefault="00D0338B">
            <w:pPr>
              <w:jc w:val="right"/>
            </w:pPr>
          </w:p>
        </w:tc>
      </w:tr>
    </w:tbl>
    <w:p w14:paraId="30C63149" w14:textId="77777777" w:rsidR="00A77B3E" w:rsidRDefault="00A77B3E">
      <w:pPr>
        <w:keepLines/>
        <w:widowControl w:val="0"/>
        <w:spacing w:before="100" w:line="288" w:lineRule="auto"/>
        <w:jc w:val="center"/>
        <w:rPr>
          <w:b/>
        </w:rPr>
      </w:pPr>
    </w:p>
    <w:p w14:paraId="3E5D7857" w14:textId="77777777" w:rsidR="00A77B3E" w:rsidRDefault="00A77B3E">
      <w:pPr>
        <w:keepLines/>
        <w:widowControl w:val="0"/>
        <w:spacing w:line="288" w:lineRule="auto"/>
        <w:jc w:val="center"/>
        <w:rPr>
          <w:b/>
        </w:rPr>
      </w:pPr>
    </w:p>
    <w:p w14:paraId="22DE6BA3" w14:textId="77777777" w:rsidR="00A77B3E" w:rsidRDefault="00DB7EA0">
      <w:pPr>
        <w:keepLines/>
        <w:widowControl w:val="0"/>
        <w:spacing w:line="288" w:lineRule="auto"/>
        <w:jc w:val="center"/>
        <w:rPr>
          <w:b/>
        </w:rPr>
      </w:pPr>
      <w:r>
        <w:rPr>
          <w:b/>
        </w:rPr>
        <w:t>Key Factors Impacting Earnings</w:t>
      </w:r>
    </w:p>
    <w:p w14:paraId="49D41160" w14:textId="77777777" w:rsidR="00A77B3E" w:rsidRDefault="00A77B3E">
      <w:pPr>
        <w:keepLines/>
        <w:widowControl w:val="0"/>
        <w:spacing w:line="288" w:lineRule="auto"/>
        <w:jc w:val="center"/>
        <w:rPr>
          <w:b/>
        </w:rPr>
      </w:pPr>
    </w:p>
    <w:p w14:paraId="67AB5C73" w14:textId="40E64088"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firstLine="720"/>
      </w:pPr>
      <w:r>
        <w:t>In addition to the segment drivers outlined below, PPL</w:t>
      </w:r>
      <w:r w:rsidR="009864DB">
        <w:t>’</w:t>
      </w:r>
      <w:r>
        <w:t>s reported earnings in 2020 included special-item after-tax expenses of $378 million, or $0.49 per share, primarily from unrealized losses on foreign currency economic hedges and the impact of the U.K. tax rate change on deferred taxes. Reported earnings in 2019 included special-item after-tax expenses of $60 million, or $0.08 per share, primarily from unrealized losses on foreign currency economic hedges.</w:t>
      </w:r>
    </w:p>
    <w:p w14:paraId="34069A0B" w14:textId="5E8A6E6E"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PPL</w:t>
      </w:r>
      <w:r w:rsidR="009864DB">
        <w:t>’</w:t>
      </w:r>
      <w:r>
        <w:t>s reported earnings for the fourth quarter of 2020 included special-item after-tax expenses of $166 million, or $0.21 per share, primarily from unrealized losses on foreign currency economic hedges. Reported earnings for the fourth quarter of 2019 included special-item after-tax expenses of $67 million, or $0.09 per share, primarily from unrealized losses on foreign currency economic hedges.</w:t>
      </w:r>
    </w:p>
    <w:p w14:paraId="7C5071E8" w14:textId="77777777" w:rsidR="00A77B3E" w:rsidRDefault="00A77B3E">
      <w:pPr>
        <w:spacing w:line="288" w:lineRule="auto"/>
      </w:pPr>
    </w:p>
    <w:p w14:paraId="352ED049" w14:textId="77777777"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U.K. Regulated Segment</w:t>
      </w:r>
    </w:p>
    <w:p w14:paraId="5FF955DC" w14:textId="5E62A898"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PPL</w:t>
      </w:r>
      <w:r w:rsidR="009864DB">
        <w:t>’</w:t>
      </w:r>
      <w:r>
        <w:t>s U.K. Regulated segment primarily consists of the regulated electricity delivery operations of Western Power Distribution (WPD), which serves Southwest and Central England and South Wales.</w:t>
      </w:r>
    </w:p>
    <w:p w14:paraId="7B5FD4DA" w14:textId="77777777" w:rsidR="00A77B3E" w:rsidRDefault="00DB7EA0">
      <w:pPr>
        <w:spacing w:line="276" w:lineRule="auto"/>
        <w:ind w:firstLine="720"/>
      </w:pPr>
      <w:r>
        <w:t>Reported earnings in 2020 decreased by $0.44 per share compared with a year ago. Earnings from ongoing operations in 2020 decreased by $0.07 per share. Factors impacting 2020 U.K. Regulated segment earnings results included $0.06 per share from the effect of dilution. Excluding dilution, factors driving earnings results included lower sales volumes primarily due to the impact of COVID-19, lower pension income, higher operation and maintenance expense, and higher depreciation expense, partially offset by higher foreign currency exchange rates and higher prices.</w:t>
      </w:r>
    </w:p>
    <w:p w14:paraId="267599AC" w14:textId="77777777" w:rsidR="00A77B3E" w:rsidRDefault="00DB7EA0">
      <w:pPr>
        <w:spacing w:line="276" w:lineRule="auto"/>
      </w:pPr>
      <w:r>
        <w:tab/>
        <w:t>Reported earnings in the fourth quarter of 2020 decreased by $0.11 per share compared with a year ago. Earnings from ongoing operations in the fourth quarter of 2020 decreased by $0.01 per share. Factors impacting fourth-quarter U.K. Regulated segment earnings results included $0.01 per share from the effect of dilution. Excluding dilution, factors driving earnings results included higher foreign currency exchange rates, offset by lower pension income, lower sales volumes primarily due to the impact of COVID-19 and higher income taxes.</w:t>
      </w:r>
    </w:p>
    <w:p w14:paraId="0895134F" w14:textId="77777777" w:rsidR="00A77B3E" w:rsidRDefault="00DB7EA0">
      <w:pPr>
        <w:spacing w:line="288" w:lineRule="auto"/>
      </w:pPr>
      <w:r>
        <w:tab/>
      </w:r>
    </w:p>
    <w:p w14:paraId="5A127D89" w14:textId="77777777"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Kentucky Regulated Segment</w:t>
      </w:r>
    </w:p>
    <w:p w14:paraId="1266E7AF" w14:textId="23D1545C"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PPL</w:t>
      </w:r>
      <w:r w:rsidR="009864DB">
        <w:t>’</w:t>
      </w:r>
      <w:r>
        <w:t>s Kentucky Regulated segment primarily consists of the regulated electricity and natural gas operations of Louisville Gas and Electric Company and the regulated electricity operations of Kentucky Utilities Company.</w:t>
      </w:r>
    </w:p>
    <w:p w14:paraId="10D2E22B" w14:textId="77777777"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pPr>
      <w:r>
        <w:tab/>
        <w:t>Reported earnings in 2020 decreased by $0.05 per share compared with a year ago. Earnings from ongoing operations in 2020 decreased by $0.04 per share. Factors impacting 2020 Kentucky Regulated segment earnings results included $0.02 per share from the effect of dilution. Excluding dilution, factors driving earnings results included lower commercial and industrial demand revenue due to the impact of COVID-19, lower sales volumes primarily due to weather, higher depreciation expense and higher income taxes due to a tax credit recognized in the second quarter of 2019, partially offset by higher retail rates effective May 1, 2019, and lower operation and maintenance expense.</w:t>
      </w:r>
    </w:p>
    <w:p w14:paraId="053B4AF0"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pPr>
      <w:r>
        <w:tab/>
        <w:t>Reported earnings and earnings from ongoing operations in the fourth quarter of 2020 increased by $0.01 per share compared with a year ago. Factors driving earnings results primarily included lower operation and maintenance expense partially offset by lower commercial and industrial demand revenue due to the impact of COVID-19.</w:t>
      </w:r>
    </w:p>
    <w:p w14:paraId="4EB69F52"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14:paraId="4F0AE73A" w14:textId="77777777"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Pennsylvania Regulated Segment</w:t>
      </w:r>
    </w:p>
    <w:p w14:paraId="70557F1F" w14:textId="28BC8542"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PPL</w:t>
      </w:r>
      <w:r w:rsidR="009864DB">
        <w:t>’</w:t>
      </w:r>
      <w:r>
        <w:t xml:space="preserve">s Pennsylvania Regulated segment consists of the regulated electricity delivery operations of PPL Electric Utilities. </w:t>
      </w:r>
    </w:p>
    <w:p w14:paraId="1AFACD69"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firstLine="720"/>
      </w:pPr>
      <w:r>
        <w:t>Reported earnings and earnings from ongoing operations in 2020 increased by $0.03 per share compared with a year ago. Factors impacting 2020 Pennsylvania Regulated segment earnings results included $0.03 per share from the effect of dilution. Excluding dilution, factors driving earnings results primarily included returns on additional capital investments in transmission and lower operation and maintenance expense, partially offset by higher depreciation expense.</w:t>
      </w:r>
    </w:p>
    <w:p w14:paraId="22A70672"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pPr>
      <w:r>
        <w:tab/>
        <w:t>Reported earnings and earnings from ongoing operations in the fourth quarter of 2020</w:t>
      </w:r>
      <w:r>
        <w:rPr>
          <w:sz w:val="20"/>
        </w:rPr>
        <w:t xml:space="preserve"> </w:t>
      </w:r>
      <w:r>
        <w:t xml:space="preserve">were even compared with a year ago. Factors driving earnings results primarily included returns on additional capital </w:t>
      </w:r>
      <w:r>
        <w:lastRenderedPageBreak/>
        <w:t>investments in transmission and lower operation and maintenance expense, partially offset by higher income taxes and higher depreciation expense.</w:t>
      </w:r>
    </w:p>
    <w:p w14:paraId="7CAEF9F5"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sz w:val="20"/>
        </w:rPr>
      </w:pPr>
    </w:p>
    <w:p w14:paraId="5FB83532" w14:textId="77777777" w:rsidR="00A77B3E" w:rsidRDefault="00DB7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Corporate and Other</w:t>
      </w:r>
    </w:p>
    <w:p w14:paraId="38DDAF7B" w14:textId="07E4EDFB"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PPL</w:t>
      </w:r>
      <w:r w:rsidR="009864DB">
        <w:t>’</w:t>
      </w:r>
      <w:r>
        <w:t xml:space="preserve">s Corporate and Other category primarily includes unallocated corporate-level financing and other costs.  </w:t>
      </w:r>
    </w:p>
    <w:p w14:paraId="2BA1E63D" w14:textId="1137388C"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firstLine="720"/>
      </w:pPr>
      <w:r>
        <w:t>Reported earnings in 2020 were even compared with a year ago. Earning</w:t>
      </w:r>
      <w:r w:rsidR="00067252">
        <w:t>s</w:t>
      </w:r>
      <w:r>
        <w:t xml:space="preserve"> from ongoing operations in 2020 increased by $0.03 compared to a year ago. Excluding special items, factors driving earnings results primarily included lower overall corporate expenses and other factors.</w:t>
      </w:r>
    </w:p>
    <w:p w14:paraId="7D0A82DB" w14:textId="77777777" w:rsidR="00A77B3E" w:rsidRDefault="00DB7EA0">
      <w:pPr>
        <w:spacing w:line="276" w:lineRule="auto"/>
      </w:pPr>
      <w:r>
        <w:rPr>
          <w:sz w:val="20"/>
        </w:rPr>
        <w:tab/>
      </w:r>
      <w:r>
        <w:t>Reported earnings in the fourth quarter of 2020 were even compared with a year ago. Earnings from ongoing operations in the fourth quarter of 2020 increased by $0.02 compared to a year ago. Excluding special items, factors driving earnings results primarily included lower overall corporate expenses and other factors.</w:t>
      </w:r>
    </w:p>
    <w:p w14:paraId="174AFD74"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14:paraId="32EA0237" w14:textId="77777777" w:rsidR="00A77B3E" w:rsidRDefault="00DB7EA0">
      <w:pPr>
        <w:keepNext/>
        <w:tabs>
          <w:tab w:val="left" w:pos="144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center"/>
        <w:rPr>
          <w:b/>
        </w:rPr>
      </w:pPr>
      <w:r>
        <w:rPr>
          <w:b/>
        </w:rPr>
        <w:t>2021 Earnings Forecast</w:t>
      </w:r>
    </w:p>
    <w:p w14:paraId="5663BEDD" w14:textId="77777777" w:rsidR="00A77B3E" w:rsidRDefault="00A77B3E">
      <w:pPr>
        <w:spacing w:line="288" w:lineRule="auto"/>
        <w:rPr>
          <w:sz w:val="20"/>
        </w:rPr>
      </w:pPr>
    </w:p>
    <w:p w14:paraId="4B9DF7AE" w14:textId="77777777" w:rsidR="00A77B3E" w:rsidRDefault="00DB7EA0">
      <w:pPr>
        <w:spacing w:line="276" w:lineRule="auto"/>
      </w:pPr>
      <w:r>
        <w:tab/>
        <w:t>PPL is not providing future earnings guidance at this time as a result of the formal process to sell its U.K. utility business. The company expects to announce a transaction in the first half of 2021.</w:t>
      </w:r>
    </w:p>
    <w:p w14:paraId="0633AE6C" w14:textId="77777777" w:rsidR="00A77B3E" w:rsidRDefault="00A77B3E">
      <w:pPr>
        <w:spacing w:line="288" w:lineRule="auto"/>
      </w:pPr>
    </w:p>
    <w:p w14:paraId="07B72168" w14:textId="77777777" w:rsidR="00A77B3E" w:rsidRDefault="00DB7EA0">
      <w:pPr>
        <w:spacing w:line="288" w:lineRule="auto"/>
      </w:pPr>
      <w:r>
        <w:tab/>
        <w:t>Headquartered in Allentown, Pa., PPL Corporation (NYSE: PPL) is one of the largest companies in the U.S. utility sector. PPL's seven high-performing, award-winning utilities serve more than 10 million customers in the U.S. and United Kingdom. With more than 12,000 employees, the company is dedicated to providing exceptional customer service and reliability and delivering superior value for shareowners. To learn more, visit www.pplweb.com.</w:t>
      </w:r>
    </w:p>
    <w:p w14:paraId="178940CA"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14:paraId="07874D18"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center"/>
      </w:pPr>
      <w:r>
        <w:t>#     #     #</w:t>
      </w:r>
    </w:p>
    <w:p w14:paraId="6CA53EAC"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i/>
        </w:rPr>
      </w:pPr>
    </w:p>
    <w:p w14:paraId="1A624C17" w14:textId="77777777" w:rsidR="00A77B3E" w:rsidRDefault="00DB7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i/>
        </w:rPr>
      </w:pPr>
      <w:r>
        <w:rPr>
          <w:i/>
        </w:rPr>
        <w:t>(Note: All references to earnings per share in the text and tables of this news release are stated in terms of diluted earnings per share unless otherwise noted.)</w:t>
      </w:r>
    </w:p>
    <w:p w14:paraId="480DCEB8" w14:textId="77777777" w:rsidR="00A77B3E" w:rsidRDefault="00A7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14:paraId="54C043CE" w14:textId="77777777" w:rsidR="00A77B3E" w:rsidRDefault="00DB7EA0">
      <w:pPr>
        <w:keepNext/>
        <w:spacing w:line="418" w:lineRule="auto"/>
        <w:rPr>
          <w:b/>
        </w:rPr>
      </w:pPr>
      <w:r>
        <w:rPr>
          <w:b/>
        </w:rPr>
        <w:t>Conference Call and Webcast</w:t>
      </w:r>
    </w:p>
    <w:p w14:paraId="6EF6234E" w14:textId="4D270F82" w:rsidR="00A77B3E" w:rsidRDefault="00DB7EA0">
      <w:pPr>
        <w:keepNext/>
        <w:spacing w:line="276" w:lineRule="auto"/>
        <w:rPr>
          <w:rFonts w:ascii="Arial" w:eastAsia="Arial" w:hAnsi="Arial" w:cs="Arial"/>
        </w:rPr>
      </w:pPr>
      <w:r>
        <w:rPr>
          <w:b/>
        </w:rPr>
        <w:t>PPL invites interested parties to listen to a live Internet webcast of management</w:t>
      </w:r>
      <w:r w:rsidR="009864DB">
        <w:rPr>
          <w:b/>
        </w:rPr>
        <w:t>’</w:t>
      </w:r>
      <w:r>
        <w:rPr>
          <w:b/>
        </w:rPr>
        <w:t xml:space="preserve">s teleconference with financial analysts about fourth-quarter and full-year 2020 financial results at 11 a.m. Eastern time on Thursday, Feb. 18. The call will be webcast live, in audio format, together with slides of the presentation. Interested individuals can access the webcast link at </w:t>
      </w:r>
      <w:hyperlink r:id="rId8" w:history="1">
        <w:r w:rsidRPr="008D3C82">
          <w:rPr>
            <w:rStyle w:val="Hyperlink"/>
            <w:b/>
          </w:rPr>
          <w:t>www.pplweb.com/investors</w:t>
        </w:r>
      </w:hyperlink>
      <w:r>
        <w:rPr>
          <w:b/>
        </w:rPr>
        <w:t xml:space="preserve"> under Events and Presentations or access the live conference call via telephone at 1-888-346-8683. International participants should call 1-412-902-4270. Participants will need to enter the following “Elite Entry” number in order to join the conference: 4358266. For those who are unable to listen to the live webcast, a replay with slides will be accessible at </w:t>
      </w:r>
      <w:hyperlink r:id="rId9" w:history="1">
        <w:r w:rsidRPr="008D3C82">
          <w:rPr>
            <w:rStyle w:val="Hyperlink"/>
            <w:b/>
          </w:rPr>
          <w:t>www.pplweb.com/investors</w:t>
        </w:r>
      </w:hyperlink>
      <w:r>
        <w:rPr>
          <w:b/>
        </w:rPr>
        <w:t xml:space="preserve"> for 90 days after the call.</w:t>
      </w:r>
    </w:p>
    <w:p w14:paraId="73B54FA2" w14:textId="77777777" w:rsidR="00A77B3E" w:rsidRDefault="00A77B3E">
      <w:pPr>
        <w:spacing w:line="276" w:lineRule="auto"/>
        <w:rPr>
          <w:b/>
        </w:rPr>
      </w:pPr>
    </w:p>
    <w:p w14:paraId="0DBCF410" w14:textId="77777777" w:rsidR="00A77B3E" w:rsidRDefault="00A77B3E">
      <w:pPr>
        <w:spacing w:line="276" w:lineRule="auto"/>
        <w:rPr>
          <w:b/>
        </w:rPr>
      </w:pPr>
    </w:p>
    <w:p w14:paraId="24EBC72E" w14:textId="77777777" w:rsidR="00A77B3E" w:rsidRDefault="00DB7EA0">
      <w:pPr>
        <w:spacing w:line="288" w:lineRule="auto"/>
        <w:jc w:val="center"/>
      </w:pPr>
      <w:r>
        <w:lastRenderedPageBreak/>
        <w:t>#     #     #</w:t>
      </w:r>
    </w:p>
    <w:p w14:paraId="0445007D" w14:textId="77777777" w:rsidR="00A77B3E" w:rsidRDefault="00A77B3E">
      <w:pPr>
        <w:spacing w:line="288" w:lineRule="auto"/>
        <w:rPr>
          <w:sz w:val="20"/>
        </w:rPr>
      </w:pPr>
    </w:p>
    <w:p w14:paraId="6630678A" w14:textId="77777777" w:rsidR="00A77B3E" w:rsidRDefault="00DB7EA0">
      <w:pPr>
        <w:spacing w:line="288" w:lineRule="auto"/>
        <w:rPr>
          <w:i/>
        </w:rPr>
      </w:pPr>
      <w:r>
        <w:rPr>
          <w:i/>
        </w:rPr>
        <w:t>Management utilizes “Earnings from Ongoing Operations” as a non-GAAP financial measure that should not be considered as an alternative to reported earnings, or net income, an indicator of operating performance determined in accordance with GAAP. PPL believes that Earnings from Ongoing Operations is useful and meaningful to investors because it provides management’s view of PPL’s earnings performance as another criterion in making investment decisions. In addition, PPL’s management uses Earnings from Ongoing Operations in measuring achievement of certain corporate performance goals, including targets for certain executive incentive compensation. Other companies may use different measures to present financial performance.</w:t>
      </w:r>
    </w:p>
    <w:p w14:paraId="6A0118CF" w14:textId="77777777" w:rsidR="00A77B3E" w:rsidRDefault="00A77B3E">
      <w:pPr>
        <w:spacing w:line="288" w:lineRule="auto"/>
        <w:rPr>
          <w:i/>
        </w:rPr>
      </w:pPr>
    </w:p>
    <w:p w14:paraId="4721AAD2" w14:textId="77777777" w:rsidR="00A77B3E" w:rsidRDefault="00DB7EA0">
      <w:pPr>
        <w:spacing w:line="288" w:lineRule="auto"/>
        <w:rPr>
          <w:i/>
        </w:rPr>
      </w:pPr>
      <w:r>
        <w:rPr>
          <w:i/>
        </w:rPr>
        <w:t>Earnings from Ongoing Operations is adjusted for the impact of special items. Special items are presented in the financial tables on an after-tax basis with the related income taxes on special items separately disclosed. Income taxes on special items, when applicable, are calculated based on the statutory tax rate of the entity where the activity is recorded. Special items may include items such as:</w:t>
      </w:r>
    </w:p>
    <w:p w14:paraId="71A30A29" w14:textId="77777777" w:rsidR="00A77B3E" w:rsidRDefault="00A77B3E">
      <w:pPr>
        <w:spacing w:line="288" w:lineRule="auto"/>
        <w:rPr>
          <w:i/>
        </w:rPr>
      </w:pPr>
    </w:p>
    <w:p w14:paraId="16C9B8DD" w14:textId="77777777" w:rsidR="00A77B3E" w:rsidRDefault="00DB7EA0">
      <w:pPr>
        <w:numPr>
          <w:ilvl w:val="0"/>
          <w:numId w:val="3"/>
        </w:numPr>
        <w:spacing w:line="288" w:lineRule="auto"/>
        <w:rPr>
          <w:i/>
        </w:rPr>
      </w:pPr>
      <w:r>
        <w:rPr>
          <w:i/>
        </w:rPr>
        <w:t>Unrealized gains or losses on foreign currency economic hedges (as discussed below).</w:t>
      </w:r>
    </w:p>
    <w:p w14:paraId="53C5B466" w14:textId="77777777" w:rsidR="00A77B3E" w:rsidRDefault="00DB7EA0">
      <w:pPr>
        <w:numPr>
          <w:ilvl w:val="0"/>
          <w:numId w:val="3"/>
        </w:numPr>
        <w:spacing w:line="288" w:lineRule="auto"/>
        <w:rPr>
          <w:i/>
        </w:rPr>
      </w:pPr>
      <w:r>
        <w:rPr>
          <w:i/>
        </w:rPr>
        <w:t>Gains and losses on sales of assets not in the ordinary course of business.</w:t>
      </w:r>
    </w:p>
    <w:p w14:paraId="62A69D25" w14:textId="77777777" w:rsidR="00A77B3E" w:rsidRDefault="00DB7EA0">
      <w:pPr>
        <w:numPr>
          <w:ilvl w:val="0"/>
          <w:numId w:val="3"/>
        </w:numPr>
        <w:spacing w:line="288" w:lineRule="auto"/>
        <w:rPr>
          <w:i/>
        </w:rPr>
      </w:pPr>
      <w:r>
        <w:rPr>
          <w:i/>
        </w:rPr>
        <w:t>Impairment charges.</w:t>
      </w:r>
    </w:p>
    <w:p w14:paraId="2CE78A74" w14:textId="77777777" w:rsidR="00A77B3E" w:rsidRDefault="00DB7EA0">
      <w:pPr>
        <w:numPr>
          <w:ilvl w:val="0"/>
          <w:numId w:val="3"/>
        </w:numPr>
        <w:spacing w:line="288" w:lineRule="auto"/>
        <w:rPr>
          <w:i/>
        </w:rPr>
      </w:pPr>
      <w:r>
        <w:rPr>
          <w:i/>
        </w:rPr>
        <w:t>Significant workforce reduction and other restructuring effects.</w:t>
      </w:r>
    </w:p>
    <w:p w14:paraId="49B76134" w14:textId="77777777" w:rsidR="00A77B3E" w:rsidRDefault="00DB7EA0">
      <w:pPr>
        <w:numPr>
          <w:ilvl w:val="0"/>
          <w:numId w:val="3"/>
        </w:numPr>
        <w:spacing w:line="288" w:lineRule="auto"/>
        <w:rPr>
          <w:i/>
        </w:rPr>
      </w:pPr>
      <w:r>
        <w:rPr>
          <w:i/>
        </w:rPr>
        <w:t>Acquisition and divestiture-related adjustments.</w:t>
      </w:r>
    </w:p>
    <w:p w14:paraId="1B18D24C" w14:textId="77777777" w:rsidR="00A77B3E" w:rsidRDefault="00DB7EA0">
      <w:pPr>
        <w:numPr>
          <w:ilvl w:val="0"/>
          <w:numId w:val="3"/>
        </w:numPr>
        <w:spacing w:line="288" w:lineRule="auto"/>
        <w:rPr>
          <w:i/>
        </w:rPr>
      </w:pPr>
      <w:r>
        <w:rPr>
          <w:i/>
        </w:rPr>
        <w:t>Other charges or credits that are, in management’s view, non-recurring or otherwise not reflective of the company’s ongoing operations.</w:t>
      </w:r>
    </w:p>
    <w:p w14:paraId="22486F40" w14:textId="77777777" w:rsidR="00A77B3E" w:rsidRDefault="00A77B3E">
      <w:pPr>
        <w:spacing w:line="288" w:lineRule="auto"/>
        <w:rPr>
          <w:i/>
        </w:rPr>
      </w:pPr>
    </w:p>
    <w:p w14:paraId="4FE0A239" w14:textId="77777777" w:rsidR="00A77B3E" w:rsidRDefault="00DB7EA0">
      <w:pPr>
        <w:spacing w:line="288" w:lineRule="auto"/>
        <w:rPr>
          <w:i/>
        </w:rPr>
      </w:pPr>
      <w:r>
        <w:rPr>
          <w:i/>
        </w:rPr>
        <w:t>Unrealized gains or losses on foreign currency economic hedges include the changes in fair value of foreign currency contracts used to hedge British-pound-sterling-denominated anticipated earnings and anticipated proceeds from the potential sale of its U.K. utility business. The changes in fair value of these contracts are recognized immediately within GAAP earnings. Management believes that excluding these amounts from Earnings from Ongoing Operations until settlement of the contracts provides a better matching of the financial impacts of those contracts with the economic value of PPL’s underlying hedged earnings.</w:t>
      </w:r>
    </w:p>
    <w:p w14:paraId="77BC327B" w14:textId="77777777" w:rsidR="00A77B3E" w:rsidRDefault="00A77B3E">
      <w:pPr>
        <w:spacing w:line="288" w:lineRule="auto"/>
        <w:rPr>
          <w:i/>
        </w:rPr>
      </w:pPr>
    </w:p>
    <w:p w14:paraId="09E9875B" w14:textId="77777777" w:rsidR="00A77B3E" w:rsidRDefault="00DB7EA0">
      <w:pPr>
        <w:spacing w:line="288" w:lineRule="auto"/>
        <w:rPr>
          <w:i/>
        </w:rPr>
      </w:pPr>
      <w:r>
        <w:rPr>
          <w:i/>
        </w:rPr>
        <w:t xml:space="preserve">Statements contained in this news release, including statements with respect to future earnings, cash flows, dividends, financing and corporate strategy, are “forward-looking statements” within the meaning of the federal securities laws. Although PPL Corporation believes that the expectations and assumptions reflected in these forward-looking statements are reasonable, these statements are subject to a number of risks and uncertainties, and actual results may differ materially from the results discussed in the statements. The following are among the important factors that could cause actual results to differ materially from the forward-looking statements: market demand for energy in our U.S. service territories; weather conditions affecting customer energy usage and operating costs; the effect of any business or industry restructuring; the profitability and liquidity of PPL Corporation and its subsidiaries; new accounting requirements or new interpretations or applications of existing requirements; operating performance of our facilities; the length </w:t>
      </w:r>
      <w:r>
        <w:rPr>
          <w:i/>
        </w:rPr>
        <w:lastRenderedPageBreak/>
        <w:t>of scheduled and unscheduled outages at our generating plants; environmental conditions and requirements and the related costs of compliance; system conditions and operating costs; development of new projects, markets and technologies; performance of new ventures; asset or business acquisitions and dispositions; any impact of severe weather on our business; receipt of necessary government permits, approvals, rate relief and regulatory cost recovery; capital market conditions and decisions regarding capital structure; the impact of state, federal or foreign investigations applicable to PPL Corporation and its subsidiaries; the outcome of litigation against PPL Corporation and its subsidiaries; stock price performance; the market prices of equity securities and the impact on pension income and resultant cash funding requirements for defined benefit pension plans; the securities and credit ratings of PPL Corporation and its subsidiaries; political, regulatory or economic conditions in states, regions or countries where PPL Corporation or its subsidiaries conduct business, including any potential effects of threatened or actual cyberattack, terrorism, or war or other hostilities; British pound sterling to U.S. dollar exchange rates; new state, federal or foreign legislation, including new tax legislation; and the commitments and liabilities of PPL Corporation and its subsidiaries. Any forward-looking statements should be considered in light of these important factors and in conjunction with factors and other matters discussed in PPL Corporation’s Form 10-K and other reports on file with the Securities and Exchange Commission.</w:t>
      </w:r>
    </w:p>
    <w:p w14:paraId="5EFA6C79" w14:textId="77777777" w:rsidR="00A77B3E" w:rsidRDefault="00DB7EA0">
      <w:pPr>
        <w:spacing w:line="288" w:lineRule="auto"/>
        <w:rPr>
          <w:sz w:val="20"/>
        </w:rPr>
      </w:pPr>
      <w:r>
        <w:rPr>
          <w:sz w:val="20"/>
        </w:rPr>
        <w:t xml:space="preserve"> </w:t>
      </w:r>
    </w:p>
    <w:p w14:paraId="18CCAA7B" w14:textId="4163F6BC" w:rsidR="00A77B3E" w:rsidRDefault="00DB7EA0" w:rsidP="009864DB">
      <w:pPr>
        <w:spacing w:after="40" w:line="288" w:lineRule="auto"/>
        <w:rPr>
          <w:b/>
          <w:i/>
        </w:rPr>
      </w:pPr>
      <w:r>
        <w:rPr>
          <w:b/>
          <w:i/>
        </w:rPr>
        <w:t>Note to Editors: Visit our media website at www.pplnewsroom.com for additional news and background about PPL Corporation.</w:t>
      </w:r>
    </w:p>
    <w:p w14:paraId="7EB4E8E0" w14:textId="77777777" w:rsidR="00A77B3E" w:rsidRDefault="00A77B3E">
      <w:pPr>
        <w:spacing w:line="288" w:lineRule="auto"/>
      </w:pPr>
    </w:p>
    <w:p w14:paraId="7D56E26A" w14:textId="77777777" w:rsidR="00A77B3E" w:rsidRDefault="00A77B3E">
      <w:pPr>
        <w:spacing w:line="288" w:lineRule="auto"/>
        <w:sectPr w:rsidR="00A77B3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1440" w:left="1080" w:header="270" w:footer="270" w:gutter="0"/>
          <w:cols w:space="708"/>
          <w:docGrid w:linePitch="360"/>
        </w:sect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163"/>
        <w:gridCol w:w="1066"/>
        <w:gridCol w:w="102"/>
        <w:gridCol w:w="77"/>
        <w:gridCol w:w="163"/>
        <w:gridCol w:w="1066"/>
        <w:gridCol w:w="102"/>
      </w:tblGrid>
      <w:tr w:rsidR="00D0338B" w14:paraId="6B8B551E" w14:textId="77777777">
        <w:trPr>
          <w:cantSplit/>
          <w:trHeight w:hRule="exact" w:val="240"/>
          <w:jc w:val="center"/>
        </w:trPr>
        <w:tc>
          <w:tcPr>
            <w:tcW w:w="10200" w:type="dxa"/>
            <w:gridSpan w:val="8"/>
            <w:tcBorders>
              <w:top w:val="nil"/>
              <w:left w:val="nil"/>
              <w:bottom w:val="nil"/>
              <w:right w:val="nil"/>
            </w:tcBorders>
            <w:tcMar>
              <w:top w:w="0" w:type="dxa"/>
              <w:left w:w="53" w:type="dxa"/>
              <w:bottom w:w="0" w:type="dxa"/>
              <w:right w:w="53" w:type="dxa"/>
            </w:tcMar>
            <w:vAlign w:val="center"/>
          </w:tcPr>
          <w:p w14:paraId="09390541" w14:textId="77777777" w:rsidR="00D0338B" w:rsidRDefault="00DB7EA0">
            <w:pPr>
              <w:keepNext/>
              <w:jc w:val="center"/>
            </w:pPr>
            <w:r>
              <w:rPr>
                <w:rFonts w:ascii="Arial" w:eastAsia="Arial" w:hAnsi="Arial" w:cs="Arial"/>
                <w:b/>
                <w:color w:val="000000"/>
                <w:sz w:val="16"/>
              </w:rPr>
              <w:lastRenderedPageBreak/>
              <w:t>PPL CORPORATION AND SUBSIDIARIES</w:t>
            </w:r>
          </w:p>
        </w:tc>
      </w:tr>
      <w:tr w:rsidR="00D0338B" w14:paraId="41FC7C29" w14:textId="77777777">
        <w:trPr>
          <w:cantSplit/>
          <w:trHeight w:hRule="exact" w:val="240"/>
          <w:jc w:val="center"/>
        </w:trPr>
        <w:tc>
          <w:tcPr>
            <w:tcW w:w="10200" w:type="dxa"/>
            <w:gridSpan w:val="8"/>
            <w:tcBorders>
              <w:top w:val="nil"/>
              <w:left w:val="nil"/>
              <w:bottom w:val="nil"/>
              <w:right w:val="nil"/>
            </w:tcBorders>
            <w:tcMar>
              <w:top w:w="0" w:type="dxa"/>
              <w:left w:w="53" w:type="dxa"/>
              <w:bottom w:w="0" w:type="dxa"/>
              <w:right w:w="53" w:type="dxa"/>
            </w:tcMar>
            <w:vAlign w:val="center"/>
          </w:tcPr>
          <w:p w14:paraId="5B4D5D2D" w14:textId="77777777" w:rsidR="00D0338B" w:rsidRDefault="00DB7EA0">
            <w:pPr>
              <w:keepNext/>
              <w:jc w:val="center"/>
              <w:outlineLvl w:val="0"/>
              <w:rPr>
                <w:rFonts w:ascii="Arial" w:eastAsia="Arial" w:hAnsi="Arial" w:cs="Arial"/>
                <w:b/>
                <w:sz w:val="16"/>
              </w:rPr>
            </w:pPr>
            <w:r>
              <w:rPr>
                <w:rFonts w:ascii="Arial" w:eastAsia="Arial" w:hAnsi="Arial" w:cs="Arial"/>
                <w:b/>
                <w:sz w:val="16"/>
              </w:rPr>
              <w:t xml:space="preserve">CONDENSED CONSOLIDATED FINANCIAL INFORMATION </w:t>
            </w:r>
            <w:r>
              <w:rPr>
                <w:rFonts w:ascii="Arial" w:eastAsia="Arial" w:hAnsi="Arial" w:cs="Arial"/>
                <w:b/>
                <w:sz w:val="16"/>
                <w:vertAlign w:val="superscript"/>
              </w:rPr>
              <w:t>(1)</w:t>
            </w:r>
          </w:p>
        </w:tc>
      </w:tr>
      <w:tr w:rsidR="00D0338B" w14:paraId="59CF44C2" w14:textId="77777777">
        <w:trPr>
          <w:cantSplit/>
          <w:trHeight w:hRule="exact" w:val="240"/>
          <w:jc w:val="center"/>
        </w:trPr>
        <w:tc>
          <w:tcPr>
            <w:tcW w:w="7515" w:type="dxa"/>
            <w:tcBorders>
              <w:top w:val="nil"/>
              <w:left w:val="nil"/>
              <w:bottom w:val="nil"/>
              <w:right w:val="nil"/>
            </w:tcBorders>
            <w:tcMar>
              <w:top w:w="0" w:type="dxa"/>
              <w:left w:w="0" w:type="dxa"/>
              <w:bottom w:w="0" w:type="dxa"/>
              <w:right w:w="0" w:type="dxa"/>
            </w:tcMar>
            <w:vAlign w:val="bottom"/>
          </w:tcPr>
          <w:p w14:paraId="0E34118E" w14:textId="77777777" w:rsidR="00D0338B" w:rsidRDefault="00D0338B">
            <w:pPr>
              <w:keepNext/>
            </w:pPr>
          </w:p>
        </w:tc>
        <w:tc>
          <w:tcPr>
            <w:tcW w:w="1305" w:type="dxa"/>
            <w:gridSpan w:val="3"/>
            <w:tcBorders>
              <w:top w:val="nil"/>
              <w:left w:val="nil"/>
              <w:bottom w:val="nil"/>
              <w:right w:val="nil"/>
            </w:tcBorders>
            <w:tcMar>
              <w:top w:w="0" w:type="dxa"/>
              <w:left w:w="0" w:type="dxa"/>
              <w:bottom w:w="0" w:type="dxa"/>
              <w:right w:w="0" w:type="dxa"/>
            </w:tcMar>
            <w:vAlign w:val="bottom"/>
          </w:tcPr>
          <w:p w14:paraId="7E923432"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49E96A89" w14:textId="77777777" w:rsidR="00D0338B" w:rsidRDefault="00D0338B">
            <w:pPr>
              <w:keepNext/>
            </w:pPr>
          </w:p>
        </w:tc>
        <w:tc>
          <w:tcPr>
            <w:tcW w:w="1305" w:type="dxa"/>
            <w:gridSpan w:val="3"/>
            <w:tcBorders>
              <w:top w:val="nil"/>
              <w:left w:val="nil"/>
              <w:bottom w:val="nil"/>
              <w:right w:val="nil"/>
            </w:tcBorders>
            <w:tcMar>
              <w:top w:w="0" w:type="dxa"/>
              <w:left w:w="0" w:type="dxa"/>
              <w:bottom w:w="0" w:type="dxa"/>
              <w:right w:w="0" w:type="dxa"/>
            </w:tcMar>
            <w:vAlign w:val="bottom"/>
          </w:tcPr>
          <w:p w14:paraId="1AA8D3BA" w14:textId="77777777" w:rsidR="00D0338B" w:rsidRDefault="00D0338B">
            <w:pPr>
              <w:keepNext/>
            </w:pPr>
          </w:p>
        </w:tc>
      </w:tr>
      <w:tr w:rsidR="00D0338B" w14:paraId="7BAD22A8" w14:textId="77777777">
        <w:trPr>
          <w:cantSplit/>
          <w:trHeight w:hRule="exact" w:val="240"/>
          <w:jc w:val="center"/>
        </w:trPr>
        <w:tc>
          <w:tcPr>
            <w:tcW w:w="10200" w:type="dxa"/>
            <w:gridSpan w:val="8"/>
            <w:tcBorders>
              <w:top w:val="nil"/>
              <w:left w:val="nil"/>
              <w:bottom w:val="nil"/>
              <w:right w:val="nil"/>
            </w:tcBorders>
            <w:tcMar>
              <w:top w:w="0" w:type="dxa"/>
              <w:left w:w="53" w:type="dxa"/>
              <w:bottom w:w="0" w:type="dxa"/>
              <w:right w:w="53" w:type="dxa"/>
            </w:tcMar>
            <w:vAlign w:val="center"/>
          </w:tcPr>
          <w:p w14:paraId="7F8DBD89" w14:textId="77777777" w:rsidR="00D0338B" w:rsidRDefault="00DB7EA0">
            <w:pPr>
              <w:keepNext/>
              <w:jc w:val="center"/>
            </w:pPr>
            <w:r>
              <w:rPr>
                <w:rFonts w:ascii="Arial" w:eastAsia="Arial" w:hAnsi="Arial" w:cs="Arial"/>
                <w:b/>
                <w:color w:val="000000"/>
                <w:sz w:val="16"/>
              </w:rPr>
              <w:t>Condensed Consolidated Balance Sheets (Unaudited)</w:t>
            </w:r>
          </w:p>
        </w:tc>
      </w:tr>
      <w:tr w:rsidR="00D0338B" w14:paraId="6E35D455" w14:textId="77777777">
        <w:trPr>
          <w:cantSplit/>
          <w:trHeight w:hRule="exact" w:val="240"/>
          <w:jc w:val="center"/>
        </w:trPr>
        <w:tc>
          <w:tcPr>
            <w:tcW w:w="10200" w:type="dxa"/>
            <w:gridSpan w:val="8"/>
            <w:tcBorders>
              <w:top w:val="nil"/>
              <w:left w:val="nil"/>
              <w:bottom w:val="nil"/>
              <w:right w:val="nil"/>
            </w:tcBorders>
            <w:tcMar>
              <w:top w:w="0" w:type="dxa"/>
              <w:left w:w="53" w:type="dxa"/>
              <w:bottom w:w="0" w:type="dxa"/>
              <w:right w:w="53" w:type="dxa"/>
            </w:tcMar>
            <w:vAlign w:val="center"/>
          </w:tcPr>
          <w:p w14:paraId="3C178AD5" w14:textId="77777777" w:rsidR="00D0338B" w:rsidRDefault="00DB7EA0">
            <w:pPr>
              <w:keepNext/>
              <w:jc w:val="center"/>
            </w:pPr>
            <w:r>
              <w:rPr>
                <w:rFonts w:ascii="Arial" w:eastAsia="Arial" w:hAnsi="Arial" w:cs="Arial"/>
                <w:b/>
                <w:color w:val="000000"/>
                <w:sz w:val="16"/>
              </w:rPr>
              <w:t>(Millions of Dollars)</w:t>
            </w:r>
          </w:p>
        </w:tc>
      </w:tr>
      <w:tr w:rsidR="00D0338B" w14:paraId="1D0EE7D5" w14:textId="77777777">
        <w:trPr>
          <w:cantSplit/>
          <w:trHeight w:hRule="exact" w:val="240"/>
          <w:jc w:val="center"/>
        </w:trPr>
        <w:tc>
          <w:tcPr>
            <w:tcW w:w="7515" w:type="dxa"/>
            <w:tcBorders>
              <w:top w:val="nil"/>
              <w:left w:val="nil"/>
              <w:bottom w:val="nil"/>
              <w:right w:val="nil"/>
            </w:tcBorders>
            <w:tcMar>
              <w:top w:w="0" w:type="dxa"/>
              <w:left w:w="0" w:type="dxa"/>
              <w:bottom w:w="0" w:type="dxa"/>
              <w:right w:w="0" w:type="dxa"/>
            </w:tcMar>
            <w:vAlign w:val="bottom"/>
          </w:tcPr>
          <w:p w14:paraId="221FC19C" w14:textId="77777777" w:rsidR="00D0338B" w:rsidRDefault="00D0338B">
            <w:pPr>
              <w:keepNext/>
            </w:pPr>
          </w:p>
        </w:tc>
        <w:tc>
          <w:tcPr>
            <w:tcW w:w="1305" w:type="dxa"/>
            <w:gridSpan w:val="3"/>
            <w:tcBorders>
              <w:top w:val="nil"/>
              <w:left w:val="nil"/>
              <w:bottom w:val="nil"/>
              <w:right w:val="nil"/>
            </w:tcBorders>
            <w:tcMar>
              <w:top w:w="0" w:type="dxa"/>
              <w:left w:w="0" w:type="dxa"/>
              <w:bottom w:w="0" w:type="dxa"/>
              <w:right w:w="0" w:type="dxa"/>
            </w:tcMar>
            <w:vAlign w:val="bottom"/>
          </w:tcPr>
          <w:p w14:paraId="3753338C"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DED4C57" w14:textId="77777777" w:rsidR="00D0338B" w:rsidRDefault="00D0338B">
            <w:pPr>
              <w:keepNext/>
            </w:pPr>
          </w:p>
        </w:tc>
        <w:tc>
          <w:tcPr>
            <w:tcW w:w="1305" w:type="dxa"/>
            <w:gridSpan w:val="3"/>
            <w:tcBorders>
              <w:top w:val="nil"/>
              <w:left w:val="nil"/>
              <w:bottom w:val="nil"/>
              <w:right w:val="nil"/>
            </w:tcBorders>
            <w:tcMar>
              <w:top w:w="0" w:type="dxa"/>
              <w:left w:w="0" w:type="dxa"/>
              <w:bottom w:w="0" w:type="dxa"/>
              <w:right w:w="0" w:type="dxa"/>
            </w:tcMar>
            <w:vAlign w:val="bottom"/>
          </w:tcPr>
          <w:p w14:paraId="63966E36" w14:textId="77777777" w:rsidR="00D0338B" w:rsidRDefault="00D0338B">
            <w:pPr>
              <w:keepNext/>
            </w:pPr>
          </w:p>
        </w:tc>
      </w:tr>
      <w:tr w:rsidR="00D0338B" w14:paraId="26A776DB" w14:textId="77777777">
        <w:trPr>
          <w:cantSplit/>
          <w:trHeight w:hRule="exact" w:val="240"/>
          <w:jc w:val="center"/>
        </w:trPr>
        <w:tc>
          <w:tcPr>
            <w:tcW w:w="7515" w:type="dxa"/>
            <w:tcBorders>
              <w:top w:val="nil"/>
              <w:left w:val="nil"/>
              <w:bottom w:val="nil"/>
              <w:right w:val="nil"/>
            </w:tcBorders>
            <w:tcMar>
              <w:top w:w="0" w:type="dxa"/>
              <w:left w:w="0" w:type="dxa"/>
              <w:bottom w:w="0" w:type="dxa"/>
              <w:right w:w="0" w:type="dxa"/>
            </w:tcMar>
            <w:vAlign w:val="bottom"/>
          </w:tcPr>
          <w:p w14:paraId="5FE0A487" w14:textId="77777777" w:rsidR="00D0338B" w:rsidRDefault="00D0338B">
            <w:pPr>
              <w:keepNext/>
            </w:pPr>
          </w:p>
        </w:tc>
        <w:tc>
          <w:tcPr>
            <w:tcW w:w="1305" w:type="dxa"/>
            <w:gridSpan w:val="3"/>
            <w:tcBorders>
              <w:top w:val="nil"/>
              <w:left w:val="nil"/>
              <w:bottom w:val="nil"/>
              <w:right w:val="nil"/>
            </w:tcBorders>
            <w:tcMar>
              <w:top w:w="0" w:type="dxa"/>
              <w:left w:w="53" w:type="dxa"/>
              <w:bottom w:w="0" w:type="dxa"/>
              <w:right w:w="53" w:type="dxa"/>
            </w:tcMar>
            <w:vAlign w:val="center"/>
          </w:tcPr>
          <w:p w14:paraId="4814BA31" w14:textId="77777777" w:rsidR="00D0338B" w:rsidRDefault="00DB7EA0">
            <w:pPr>
              <w:keepNext/>
              <w:jc w:val="center"/>
            </w:pPr>
            <w:r>
              <w:rPr>
                <w:rFonts w:ascii="Arial" w:eastAsia="Arial" w:hAnsi="Arial" w:cs="Arial"/>
                <w:b/>
                <w:color w:val="000000"/>
                <w:sz w:val="16"/>
              </w:rPr>
              <w:t>December 31,</w:t>
            </w:r>
          </w:p>
        </w:tc>
        <w:tc>
          <w:tcPr>
            <w:tcW w:w="75" w:type="dxa"/>
            <w:tcBorders>
              <w:top w:val="nil"/>
              <w:left w:val="nil"/>
              <w:bottom w:val="nil"/>
              <w:right w:val="nil"/>
            </w:tcBorders>
            <w:tcMar>
              <w:top w:w="0" w:type="dxa"/>
              <w:left w:w="0" w:type="dxa"/>
              <w:bottom w:w="0" w:type="dxa"/>
              <w:right w:w="0" w:type="dxa"/>
            </w:tcMar>
            <w:vAlign w:val="bottom"/>
          </w:tcPr>
          <w:p w14:paraId="5E37B9E6" w14:textId="77777777" w:rsidR="00D0338B" w:rsidRDefault="00D0338B">
            <w:pPr>
              <w:keepNext/>
            </w:pPr>
          </w:p>
        </w:tc>
        <w:tc>
          <w:tcPr>
            <w:tcW w:w="1305" w:type="dxa"/>
            <w:gridSpan w:val="3"/>
            <w:tcBorders>
              <w:top w:val="nil"/>
              <w:left w:val="nil"/>
              <w:bottom w:val="nil"/>
              <w:right w:val="nil"/>
            </w:tcBorders>
            <w:tcMar>
              <w:top w:w="0" w:type="dxa"/>
              <w:left w:w="53" w:type="dxa"/>
              <w:bottom w:w="0" w:type="dxa"/>
              <w:right w:w="53" w:type="dxa"/>
            </w:tcMar>
            <w:vAlign w:val="center"/>
          </w:tcPr>
          <w:p w14:paraId="1AE38D11" w14:textId="77777777" w:rsidR="00D0338B" w:rsidRDefault="00DB7EA0">
            <w:pPr>
              <w:keepNext/>
              <w:jc w:val="center"/>
            </w:pPr>
            <w:r>
              <w:rPr>
                <w:rFonts w:ascii="Arial" w:eastAsia="Arial" w:hAnsi="Arial" w:cs="Arial"/>
                <w:b/>
                <w:color w:val="000000"/>
                <w:sz w:val="16"/>
              </w:rPr>
              <w:t>December 31,</w:t>
            </w:r>
          </w:p>
        </w:tc>
      </w:tr>
      <w:tr w:rsidR="00D0338B" w14:paraId="43A4D212" w14:textId="77777777">
        <w:trPr>
          <w:cantSplit/>
          <w:trHeight w:hRule="exact" w:val="240"/>
          <w:jc w:val="center"/>
        </w:trPr>
        <w:tc>
          <w:tcPr>
            <w:tcW w:w="7515" w:type="dxa"/>
            <w:tcBorders>
              <w:top w:val="nil"/>
              <w:left w:val="nil"/>
              <w:bottom w:val="nil"/>
              <w:right w:val="nil"/>
            </w:tcBorders>
            <w:tcMar>
              <w:top w:w="0" w:type="dxa"/>
              <w:left w:w="0" w:type="dxa"/>
              <w:bottom w:w="0" w:type="dxa"/>
              <w:right w:w="0" w:type="dxa"/>
            </w:tcMar>
            <w:vAlign w:val="bottom"/>
          </w:tcPr>
          <w:p w14:paraId="01877373" w14:textId="77777777" w:rsidR="00D0338B" w:rsidRDefault="00D0338B">
            <w:pPr>
              <w:keepNext/>
            </w:pPr>
          </w:p>
        </w:tc>
        <w:tc>
          <w:tcPr>
            <w:tcW w:w="1305" w:type="dxa"/>
            <w:gridSpan w:val="3"/>
            <w:tcBorders>
              <w:top w:val="nil"/>
              <w:left w:val="nil"/>
              <w:bottom w:val="single" w:sz="8" w:space="0" w:color="000000"/>
              <w:right w:val="nil"/>
            </w:tcBorders>
            <w:tcMar>
              <w:top w:w="0" w:type="dxa"/>
              <w:left w:w="53" w:type="dxa"/>
              <w:bottom w:w="0" w:type="dxa"/>
              <w:right w:w="53" w:type="dxa"/>
            </w:tcMar>
            <w:vAlign w:val="center"/>
          </w:tcPr>
          <w:p w14:paraId="4464A59E" w14:textId="77777777" w:rsidR="00D0338B" w:rsidRDefault="00DB7EA0">
            <w:pPr>
              <w:keepNext/>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14:paraId="643289FF" w14:textId="77777777" w:rsidR="00D0338B" w:rsidRDefault="00D0338B">
            <w:pPr>
              <w:keepNext/>
            </w:pPr>
          </w:p>
        </w:tc>
        <w:tc>
          <w:tcPr>
            <w:tcW w:w="1305" w:type="dxa"/>
            <w:gridSpan w:val="3"/>
            <w:tcBorders>
              <w:top w:val="nil"/>
              <w:left w:val="nil"/>
              <w:bottom w:val="single" w:sz="8" w:space="0" w:color="000000"/>
              <w:right w:val="nil"/>
            </w:tcBorders>
            <w:tcMar>
              <w:top w:w="0" w:type="dxa"/>
              <w:left w:w="53" w:type="dxa"/>
              <w:bottom w:w="0" w:type="dxa"/>
              <w:right w:w="53" w:type="dxa"/>
            </w:tcMar>
            <w:vAlign w:val="center"/>
          </w:tcPr>
          <w:p w14:paraId="01E4DAA6" w14:textId="77777777" w:rsidR="00D0338B" w:rsidRDefault="00DB7EA0">
            <w:pPr>
              <w:keepNext/>
              <w:jc w:val="center"/>
            </w:pPr>
            <w:r>
              <w:rPr>
                <w:rFonts w:ascii="Arial" w:eastAsia="Arial" w:hAnsi="Arial" w:cs="Arial"/>
                <w:b/>
                <w:color w:val="000000"/>
                <w:sz w:val="16"/>
              </w:rPr>
              <w:t>2019</w:t>
            </w:r>
          </w:p>
        </w:tc>
      </w:tr>
      <w:tr w:rsidR="00D0338B" w14:paraId="0A1CFA12" w14:textId="77777777">
        <w:trPr>
          <w:cantSplit/>
          <w:trHeight w:hRule="exact" w:val="240"/>
          <w:jc w:val="center"/>
        </w:trPr>
        <w:tc>
          <w:tcPr>
            <w:tcW w:w="7515" w:type="dxa"/>
            <w:tcBorders>
              <w:top w:val="nil"/>
              <w:left w:val="nil"/>
              <w:bottom w:val="nil"/>
              <w:right w:val="nil"/>
            </w:tcBorders>
            <w:tcMar>
              <w:top w:w="0" w:type="dxa"/>
              <w:left w:w="53" w:type="dxa"/>
              <w:bottom w:w="0" w:type="dxa"/>
              <w:right w:w="53" w:type="dxa"/>
            </w:tcMar>
            <w:vAlign w:val="center"/>
          </w:tcPr>
          <w:p w14:paraId="251BC61F" w14:textId="77777777" w:rsidR="00D0338B" w:rsidRDefault="00DB7EA0">
            <w:pPr>
              <w:keepNext/>
            </w:pPr>
            <w:r>
              <w:rPr>
                <w:rFonts w:ascii="Arial" w:eastAsia="Arial" w:hAnsi="Arial" w:cs="Arial"/>
                <w:b/>
                <w:color w:val="000000"/>
                <w:sz w:val="16"/>
              </w:rPr>
              <w:t>Assets</w:t>
            </w: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14:paraId="358C6BFA"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717320E" w14:textId="77777777" w:rsidR="00D0338B" w:rsidRDefault="00D0338B">
            <w:pPr>
              <w:keepNext/>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14:paraId="7FE833ED" w14:textId="77777777" w:rsidR="00D0338B" w:rsidRDefault="00D0338B">
            <w:pPr>
              <w:keepNext/>
            </w:pPr>
          </w:p>
        </w:tc>
      </w:tr>
      <w:tr w:rsidR="00D0338B" w14:paraId="58F4C1BA"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14B23878" w14:textId="77777777" w:rsidR="00D0338B" w:rsidRDefault="00DB7EA0">
            <w:pPr>
              <w:keepNext/>
            </w:pPr>
            <w:r>
              <w:rPr>
                <w:rFonts w:ascii="Arial" w:eastAsia="Arial" w:hAnsi="Arial" w:cs="Arial"/>
                <w:color w:val="000000"/>
                <w:sz w:val="16"/>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142D025A" w14:textId="77777777" w:rsidR="00D0338B" w:rsidRDefault="00DB7EA0">
            <w:pPr>
              <w:keepNex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center"/>
          </w:tcPr>
          <w:p w14:paraId="1DBFF75C" w14:textId="77777777" w:rsidR="00D0338B" w:rsidRDefault="00DB7EA0">
            <w:pPr>
              <w:keepNext/>
              <w:jc w:val="right"/>
            </w:pPr>
            <w:r>
              <w:rPr>
                <w:rFonts w:ascii="Arial" w:eastAsia="Arial" w:hAnsi="Arial" w:cs="Arial"/>
                <w:color w:val="000000"/>
                <w:sz w:val="16"/>
              </w:rPr>
              <w:t>708 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88154E5"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A2B22D"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309A5226" w14:textId="77777777" w:rsidR="00D0338B" w:rsidRDefault="00DB7EA0">
            <w:pPr>
              <w:keepNext/>
            </w:pPr>
            <w:r>
              <w:rPr>
                <w:rFonts w:ascii="Arial" w:eastAsia="Arial" w:hAnsi="Arial" w:cs="Arial"/>
                <w:color w:val="000000"/>
                <w:sz w:val="16"/>
              </w:rPr>
              <w:t>$</w:t>
            </w:r>
          </w:p>
        </w:tc>
        <w:tc>
          <w:tcPr>
            <w:tcW w:w="1045" w:type="dxa"/>
            <w:tcBorders>
              <w:top w:val="nil"/>
              <w:left w:val="nil"/>
              <w:bottom w:val="nil"/>
              <w:right w:val="nil"/>
            </w:tcBorders>
            <w:shd w:val="clear" w:color="auto" w:fill="CCEEFF"/>
            <w:tcMar>
              <w:top w:w="0" w:type="dxa"/>
              <w:left w:w="0" w:type="dxa"/>
              <w:bottom w:w="0" w:type="dxa"/>
              <w:right w:w="0" w:type="dxa"/>
            </w:tcMar>
            <w:vAlign w:val="center"/>
          </w:tcPr>
          <w:p w14:paraId="2B4E4191" w14:textId="77777777" w:rsidR="00D0338B" w:rsidRDefault="00DB7EA0">
            <w:pPr>
              <w:keepNext/>
              <w:jc w:val="right"/>
            </w:pPr>
            <w:r>
              <w:rPr>
                <w:rFonts w:ascii="Arial" w:eastAsia="Arial" w:hAnsi="Arial" w:cs="Arial"/>
                <w:color w:val="000000"/>
                <w:sz w:val="16"/>
              </w:rPr>
              <w:t>815 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74360F45" w14:textId="77777777" w:rsidR="00D0338B" w:rsidRDefault="00D0338B">
            <w:pPr>
              <w:keepNext/>
              <w:jc w:val="right"/>
            </w:pPr>
          </w:p>
        </w:tc>
      </w:tr>
      <w:tr w:rsidR="00D0338B" w14:paraId="6E09CEFC"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40B8D98E" w14:textId="77777777" w:rsidR="00D0338B" w:rsidRDefault="00DB7EA0">
            <w:pPr>
              <w:keepNext/>
            </w:pPr>
            <w:r>
              <w:rPr>
                <w:rFonts w:ascii="Arial" w:eastAsia="Arial" w:hAnsi="Arial" w:cs="Arial"/>
                <w:color w:val="000000"/>
                <w:sz w:val="16"/>
              </w:rPr>
              <w:t>Accounts receivable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0E7F0663" w14:textId="77777777" w:rsidR="00D0338B" w:rsidRDefault="00DB7EA0">
            <w:pPr>
              <w:keepNext/>
              <w:jc w:val="right"/>
            </w:pPr>
            <w:r>
              <w:rPr>
                <w:rFonts w:ascii="Arial" w:eastAsia="Arial" w:hAnsi="Arial" w:cs="Arial"/>
                <w:color w:val="000000"/>
                <w:sz w:val="16"/>
              </w:rPr>
              <w:t>881 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A24C9B9"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5B9C2B"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4582EEEB" w14:textId="77777777" w:rsidR="00D0338B" w:rsidRDefault="00DB7EA0">
            <w:pPr>
              <w:keepNext/>
              <w:jc w:val="right"/>
            </w:pPr>
            <w:r>
              <w:rPr>
                <w:rFonts w:ascii="Arial" w:eastAsia="Arial" w:hAnsi="Arial" w:cs="Arial"/>
                <w:color w:val="000000"/>
                <w:sz w:val="16"/>
              </w:rPr>
              <w:t>792 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B148A48" w14:textId="77777777" w:rsidR="00D0338B" w:rsidRDefault="00D0338B">
            <w:pPr>
              <w:keepNext/>
              <w:jc w:val="right"/>
            </w:pPr>
          </w:p>
        </w:tc>
      </w:tr>
      <w:tr w:rsidR="00D0338B" w14:paraId="7B7CB0E8"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095689CB" w14:textId="77777777" w:rsidR="00D0338B" w:rsidRDefault="00DB7EA0">
            <w:pPr>
              <w:keepNext/>
            </w:pPr>
            <w:r>
              <w:rPr>
                <w:rFonts w:ascii="Arial" w:eastAsia="Arial" w:hAnsi="Arial" w:cs="Arial"/>
                <w:color w:val="000000"/>
                <w:sz w:val="16"/>
              </w:rPr>
              <w:t>Unbilled revenues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57F0E81E" w14:textId="77777777" w:rsidR="00D0338B" w:rsidRDefault="00DB7EA0">
            <w:pPr>
              <w:keepNext/>
              <w:jc w:val="right"/>
            </w:pPr>
            <w:r>
              <w:rPr>
                <w:rFonts w:ascii="Arial" w:eastAsia="Arial" w:hAnsi="Arial" w:cs="Arial"/>
                <w:color w:val="000000"/>
                <w:sz w:val="16"/>
              </w:rPr>
              <w:t>498 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005A9A7"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4A54F2"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32A98342" w14:textId="77777777" w:rsidR="00D0338B" w:rsidRDefault="00DB7EA0">
            <w:pPr>
              <w:keepNext/>
              <w:jc w:val="right"/>
            </w:pPr>
            <w:r>
              <w:rPr>
                <w:rFonts w:ascii="Arial" w:eastAsia="Arial" w:hAnsi="Arial" w:cs="Arial"/>
                <w:color w:val="000000"/>
                <w:sz w:val="16"/>
              </w:rPr>
              <w:t>504 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C1D4F6C" w14:textId="77777777" w:rsidR="00D0338B" w:rsidRDefault="00D0338B">
            <w:pPr>
              <w:keepNext/>
              <w:jc w:val="right"/>
            </w:pPr>
          </w:p>
        </w:tc>
      </w:tr>
      <w:tr w:rsidR="00D0338B" w14:paraId="2C9CECB3"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799BA9D7" w14:textId="77777777" w:rsidR="00D0338B" w:rsidRDefault="00DB7EA0">
            <w:pPr>
              <w:keepNext/>
            </w:pPr>
            <w:r>
              <w:rPr>
                <w:rFonts w:ascii="Arial" w:eastAsia="Arial" w:hAnsi="Arial" w:cs="Arial"/>
                <w:color w:val="000000"/>
                <w:sz w:val="16"/>
              </w:rPr>
              <w:t>Fuel, materials and supplies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63CF9D28" w14:textId="77777777" w:rsidR="00D0338B" w:rsidRDefault="00DB7EA0">
            <w:pPr>
              <w:keepNext/>
              <w:jc w:val="right"/>
            </w:pPr>
            <w:r>
              <w:rPr>
                <w:rFonts w:ascii="Arial" w:eastAsia="Arial" w:hAnsi="Arial" w:cs="Arial"/>
                <w:color w:val="000000"/>
                <w:sz w:val="16"/>
              </w:rPr>
              <w:t>361 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ECCF1B5"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616EFF"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3FEBCFA1" w14:textId="77777777" w:rsidR="00D0338B" w:rsidRDefault="00DB7EA0">
            <w:pPr>
              <w:keepNext/>
              <w:jc w:val="right"/>
            </w:pPr>
            <w:r>
              <w:rPr>
                <w:rFonts w:ascii="Arial" w:eastAsia="Arial" w:hAnsi="Arial" w:cs="Arial"/>
                <w:color w:val="000000"/>
                <w:sz w:val="16"/>
              </w:rPr>
              <w:t>332 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48926A8" w14:textId="77777777" w:rsidR="00D0338B" w:rsidRDefault="00D0338B">
            <w:pPr>
              <w:keepNext/>
              <w:jc w:val="right"/>
            </w:pPr>
          </w:p>
        </w:tc>
      </w:tr>
      <w:tr w:rsidR="00D0338B" w14:paraId="4C77423F"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1B31578F" w14:textId="77777777" w:rsidR="00D0338B" w:rsidRDefault="00DB7EA0">
            <w:pPr>
              <w:keepNext/>
            </w:pPr>
            <w:r>
              <w:rPr>
                <w:rFonts w:ascii="Arial" w:eastAsia="Arial" w:hAnsi="Arial" w:cs="Arial"/>
                <w:color w:val="000000"/>
                <w:sz w:val="16"/>
              </w:rPr>
              <w:t>Current price risk management assets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4EF8DC32" w14:textId="77777777" w:rsidR="00D0338B" w:rsidRDefault="00DB7EA0">
            <w:pPr>
              <w:keepNext/>
              <w:jc w:val="right"/>
            </w:pPr>
            <w:r>
              <w:rPr>
                <w:rFonts w:ascii="Arial" w:eastAsia="Arial" w:hAnsi="Arial" w:cs="Arial"/>
                <w:color w:val="000000"/>
                <w:sz w:val="16"/>
              </w:rPr>
              <w:t>94 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C243C70"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2F5919"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1479E7B4" w14:textId="77777777" w:rsidR="00D0338B" w:rsidRDefault="00DB7EA0">
            <w:pPr>
              <w:keepNext/>
              <w:jc w:val="right"/>
            </w:pPr>
            <w:r>
              <w:rPr>
                <w:rFonts w:ascii="Arial" w:eastAsia="Arial" w:hAnsi="Arial" w:cs="Arial"/>
                <w:color w:val="000000"/>
                <w:sz w:val="16"/>
              </w:rPr>
              <w:t>147 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3BAB324" w14:textId="77777777" w:rsidR="00D0338B" w:rsidRDefault="00D0338B">
            <w:pPr>
              <w:keepNext/>
              <w:jc w:val="right"/>
            </w:pPr>
          </w:p>
        </w:tc>
      </w:tr>
      <w:tr w:rsidR="00D0338B" w14:paraId="28CC60F4"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16354062" w14:textId="77777777" w:rsidR="00D0338B" w:rsidRDefault="00DB7EA0">
            <w:pPr>
              <w:keepNext/>
            </w:pPr>
            <w:r>
              <w:rPr>
                <w:rFonts w:ascii="Arial" w:eastAsia="Arial" w:hAnsi="Arial" w:cs="Arial"/>
                <w:color w:val="000000"/>
                <w:sz w:val="16"/>
              </w:rPr>
              <w:t>Other current assets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13F3ACBF" w14:textId="77777777" w:rsidR="00D0338B" w:rsidRDefault="00DB7EA0">
            <w:pPr>
              <w:keepNext/>
              <w:jc w:val="right"/>
            </w:pPr>
            <w:r>
              <w:rPr>
                <w:rFonts w:ascii="Arial" w:eastAsia="Arial" w:hAnsi="Arial" w:cs="Arial"/>
                <w:color w:val="000000"/>
                <w:sz w:val="16"/>
              </w:rPr>
              <w:t>226 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636D742"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ECB77A"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14477527" w14:textId="77777777" w:rsidR="00D0338B" w:rsidRDefault="00DB7EA0">
            <w:pPr>
              <w:keepNext/>
              <w:jc w:val="right"/>
            </w:pPr>
            <w:r>
              <w:rPr>
                <w:rFonts w:ascii="Arial" w:eastAsia="Arial" w:hAnsi="Arial" w:cs="Arial"/>
                <w:color w:val="000000"/>
                <w:sz w:val="16"/>
              </w:rPr>
              <w:t>177 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46604A1" w14:textId="77777777" w:rsidR="00D0338B" w:rsidRDefault="00D0338B">
            <w:pPr>
              <w:keepNext/>
              <w:jc w:val="right"/>
            </w:pPr>
          </w:p>
        </w:tc>
      </w:tr>
      <w:tr w:rsidR="00D0338B" w14:paraId="509156EA"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43B04546" w14:textId="77777777" w:rsidR="00D0338B" w:rsidRDefault="00DB7EA0">
            <w:pPr>
              <w:keepNext/>
            </w:pPr>
            <w:r>
              <w:rPr>
                <w:rFonts w:ascii="Arial" w:eastAsia="Arial" w:hAnsi="Arial" w:cs="Arial"/>
                <w:color w:val="000000"/>
                <w:sz w:val="16"/>
              </w:rPr>
              <w:t>Property, Plant and Equipment</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5C5E5B58"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E31716" w14:textId="77777777" w:rsidR="00D0338B" w:rsidRDefault="00D0338B">
            <w:pPr>
              <w:keepNext/>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64F971D8" w14:textId="77777777" w:rsidR="00D0338B" w:rsidRDefault="00D0338B">
            <w:pPr>
              <w:keepNext/>
            </w:pPr>
          </w:p>
        </w:tc>
      </w:tr>
      <w:tr w:rsidR="00D0338B" w14:paraId="0021FAD2"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72C03AFA" w14:textId="77777777" w:rsidR="00D0338B" w:rsidRDefault="00DB7EA0">
            <w:pPr>
              <w:keepNext/>
              <w:ind w:left="135"/>
            </w:pPr>
            <w:r>
              <w:rPr>
                <w:rFonts w:ascii="Arial" w:eastAsia="Arial" w:hAnsi="Arial" w:cs="Arial"/>
                <w:color w:val="000000"/>
                <w:sz w:val="16"/>
              </w:rPr>
              <w:t>Regulated utility plant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53A37F35" w14:textId="77777777" w:rsidR="00D0338B" w:rsidRDefault="00DB7EA0">
            <w:pPr>
              <w:keepNext/>
              <w:jc w:val="right"/>
            </w:pPr>
            <w:r>
              <w:rPr>
                <w:rFonts w:ascii="Arial" w:eastAsia="Arial" w:hAnsi="Arial" w:cs="Arial"/>
                <w:color w:val="000000"/>
                <w:sz w:val="16"/>
              </w:rPr>
              <w:t>45,887 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253EDCB"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D660E9"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43508E28" w14:textId="77777777" w:rsidR="00D0338B" w:rsidRDefault="00DB7EA0">
            <w:pPr>
              <w:keepNext/>
              <w:jc w:val="right"/>
            </w:pPr>
            <w:r>
              <w:rPr>
                <w:rFonts w:ascii="Arial" w:eastAsia="Arial" w:hAnsi="Arial" w:cs="Arial"/>
                <w:color w:val="000000"/>
                <w:sz w:val="16"/>
              </w:rPr>
              <w:t>42,709 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46A6143" w14:textId="77777777" w:rsidR="00D0338B" w:rsidRDefault="00D0338B">
            <w:pPr>
              <w:keepNext/>
              <w:jc w:val="right"/>
            </w:pPr>
          </w:p>
        </w:tc>
      </w:tr>
      <w:tr w:rsidR="00D0338B" w14:paraId="3341C666"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329FF599" w14:textId="77777777" w:rsidR="00D0338B" w:rsidRDefault="00DB7EA0">
            <w:pPr>
              <w:keepNext/>
              <w:ind w:left="135"/>
            </w:pPr>
            <w:r>
              <w:rPr>
                <w:rFonts w:ascii="Arial" w:eastAsia="Arial" w:hAnsi="Arial" w:cs="Arial"/>
                <w:color w:val="000000"/>
                <w:sz w:val="16"/>
              </w:rPr>
              <w:t>Less: Accumulated depreciation - regulated utility plant</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3D9DC7F9" w14:textId="77777777" w:rsidR="00D0338B" w:rsidRDefault="00DB7EA0">
            <w:pPr>
              <w:keepNext/>
              <w:jc w:val="right"/>
            </w:pPr>
            <w:r>
              <w:rPr>
                <w:rFonts w:ascii="Arial" w:eastAsia="Arial" w:hAnsi="Arial" w:cs="Arial"/>
                <w:color w:val="000000"/>
                <w:sz w:val="16"/>
              </w:rPr>
              <w:t>8,894 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690D7811"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C4117F" w14:textId="77777777" w:rsidR="00D0338B" w:rsidRDefault="00D0338B">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30E00F80" w14:textId="77777777" w:rsidR="00D0338B" w:rsidRDefault="00DB7EA0">
            <w:pPr>
              <w:keepNext/>
              <w:jc w:val="right"/>
            </w:pPr>
            <w:r>
              <w:rPr>
                <w:rFonts w:ascii="Arial" w:eastAsia="Arial" w:hAnsi="Arial" w:cs="Arial"/>
                <w:color w:val="000000"/>
                <w:sz w:val="16"/>
              </w:rPr>
              <w:t>8,055 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1EBF7D97" w14:textId="77777777" w:rsidR="00D0338B" w:rsidRDefault="00D0338B">
            <w:pPr>
              <w:keepNext/>
              <w:jc w:val="right"/>
            </w:pPr>
          </w:p>
        </w:tc>
      </w:tr>
      <w:tr w:rsidR="00D0338B" w14:paraId="26EC5AD0"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7D6507E6" w14:textId="77777777" w:rsidR="00D0338B" w:rsidRDefault="00DB7EA0">
            <w:pPr>
              <w:keepNext/>
              <w:ind w:left="225"/>
            </w:pPr>
            <w:r>
              <w:rPr>
                <w:rFonts w:ascii="Arial" w:eastAsia="Arial" w:hAnsi="Arial" w:cs="Arial"/>
                <w:color w:val="000000"/>
                <w:sz w:val="16"/>
              </w:rPr>
              <w:t>Regulated utility plant, net</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27ED0262" w14:textId="77777777" w:rsidR="00D0338B" w:rsidRDefault="00DB7EA0">
            <w:pPr>
              <w:keepNext/>
              <w:jc w:val="right"/>
            </w:pPr>
            <w:r>
              <w:rPr>
                <w:rFonts w:ascii="Arial" w:eastAsia="Arial" w:hAnsi="Arial" w:cs="Arial"/>
                <w:color w:val="000000"/>
                <w:sz w:val="16"/>
              </w:rPr>
              <w:t>36,993 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4A813EF2"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589F7B" w14:textId="77777777" w:rsidR="00D0338B" w:rsidRDefault="00D0338B">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71EB1C27" w14:textId="77777777" w:rsidR="00D0338B" w:rsidRDefault="00DB7EA0">
            <w:pPr>
              <w:keepNext/>
              <w:jc w:val="right"/>
            </w:pPr>
            <w:r>
              <w:rPr>
                <w:rFonts w:ascii="Arial" w:eastAsia="Arial" w:hAnsi="Arial" w:cs="Arial"/>
                <w:color w:val="000000"/>
                <w:sz w:val="16"/>
              </w:rPr>
              <w:t>34,654 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63A408A4" w14:textId="77777777" w:rsidR="00D0338B" w:rsidRDefault="00D0338B">
            <w:pPr>
              <w:keepNext/>
              <w:jc w:val="right"/>
            </w:pPr>
          </w:p>
        </w:tc>
      </w:tr>
      <w:tr w:rsidR="00D0338B" w14:paraId="6E97D6A5"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5464B23B" w14:textId="77777777" w:rsidR="00D0338B" w:rsidRDefault="00DB7EA0">
            <w:pPr>
              <w:keepNext/>
              <w:ind w:left="135"/>
            </w:pPr>
            <w:r>
              <w:rPr>
                <w:rFonts w:ascii="Arial" w:eastAsia="Arial" w:hAnsi="Arial" w:cs="Arial"/>
                <w:color w:val="000000"/>
                <w:sz w:val="16"/>
              </w:rPr>
              <w:t>Non-regulated property, plant and equipment</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36166504" w14:textId="77777777" w:rsidR="00D0338B" w:rsidRDefault="00DB7EA0">
            <w:pPr>
              <w:keepNext/>
              <w:jc w:val="right"/>
            </w:pPr>
            <w:r>
              <w:rPr>
                <w:rFonts w:ascii="Arial" w:eastAsia="Arial" w:hAnsi="Arial" w:cs="Arial"/>
                <w:color w:val="000000"/>
                <w:sz w:val="16"/>
              </w:rPr>
              <w:t>498 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142E0D4B"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C0AA9F" w14:textId="77777777" w:rsidR="00D0338B" w:rsidRDefault="00D0338B">
            <w:pPr>
              <w:keepNex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0B5E6E55" w14:textId="77777777" w:rsidR="00D0338B" w:rsidRDefault="00DB7EA0">
            <w:pPr>
              <w:keepNext/>
              <w:jc w:val="right"/>
            </w:pPr>
            <w:r>
              <w:rPr>
                <w:rFonts w:ascii="Arial" w:eastAsia="Arial" w:hAnsi="Arial" w:cs="Arial"/>
                <w:color w:val="000000"/>
                <w:sz w:val="16"/>
              </w:rPr>
              <w:t>357 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40BB5AD1" w14:textId="77777777" w:rsidR="00D0338B" w:rsidRDefault="00D0338B">
            <w:pPr>
              <w:keepNext/>
              <w:jc w:val="right"/>
            </w:pPr>
          </w:p>
        </w:tc>
      </w:tr>
      <w:tr w:rsidR="00D0338B" w14:paraId="7D69F1C4"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52126629" w14:textId="77777777" w:rsidR="00D0338B" w:rsidRDefault="00DB7EA0">
            <w:pPr>
              <w:keepNext/>
              <w:ind w:left="135"/>
            </w:pPr>
            <w:r>
              <w:rPr>
                <w:rFonts w:ascii="Arial" w:eastAsia="Arial" w:hAnsi="Arial" w:cs="Arial"/>
                <w:color w:val="000000"/>
                <w:sz w:val="16"/>
              </w:rPr>
              <w:t>Less: Accumulated depreciation - non-regulated property, plant and equipment</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26E6143A" w14:textId="77777777" w:rsidR="00D0338B" w:rsidRDefault="00DB7EA0">
            <w:pPr>
              <w:keepNext/>
              <w:jc w:val="right"/>
            </w:pPr>
            <w:r>
              <w:rPr>
                <w:rFonts w:ascii="Arial" w:eastAsia="Arial" w:hAnsi="Arial" w:cs="Arial"/>
                <w:color w:val="000000"/>
                <w:sz w:val="16"/>
              </w:rPr>
              <w:t>102 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63A2CD09"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A0B58C" w14:textId="77777777" w:rsidR="00D0338B" w:rsidRDefault="00D0338B">
            <w:pPr>
              <w:keepNex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6B61AF8C" w14:textId="77777777" w:rsidR="00D0338B" w:rsidRDefault="00DB7EA0">
            <w:pPr>
              <w:keepNext/>
              <w:jc w:val="right"/>
            </w:pPr>
            <w:r>
              <w:rPr>
                <w:rFonts w:ascii="Arial" w:eastAsia="Arial" w:hAnsi="Arial" w:cs="Arial"/>
                <w:color w:val="000000"/>
                <w:sz w:val="16"/>
              </w:rPr>
              <w:t>109 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1D987916" w14:textId="77777777" w:rsidR="00D0338B" w:rsidRDefault="00D0338B">
            <w:pPr>
              <w:keepNext/>
              <w:jc w:val="right"/>
            </w:pPr>
          </w:p>
        </w:tc>
      </w:tr>
      <w:tr w:rsidR="00D0338B" w14:paraId="4CAA77D5"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646CF5EB" w14:textId="77777777" w:rsidR="00D0338B" w:rsidRDefault="00DB7EA0">
            <w:pPr>
              <w:keepNext/>
              <w:ind w:left="225"/>
            </w:pPr>
            <w:r>
              <w:rPr>
                <w:rFonts w:ascii="Arial" w:eastAsia="Arial" w:hAnsi="Arial" w:cs="Arial"/>
                <w:color w:val="000000"/>
                <w:sz w:val="16"/>
              </w:rPr>
              <w:t>Non-regulated property, plant and equipment, net</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4323332E" w14:textId="77777777" w:rsidR="00D0338B" w:rsidRDefault="00DB7EA0">
            <w:pPr>
              <w:keepNext/>
              <w:jc w:val="right"/>
            </w:pPr>
            <w:r>
              <w:rPr>
                <w:rFonts w:ascii="Arial" w:eastAsia="Arial" w:hAnsi="Arial" w:cs="Arial"/>
                <w:color w:val="000000"/>
                <w:sz w:val="16"/>
              </w:rPr>
              <w:t>396 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386F3A63"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1FB72B" w14:textId="77777777" w:rsidR="00D0338B" w:rsidRDefault="00D0338B">
            <w:pPr>
              <w:keepNex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41C29FDF" w14:textId="77777777" w:rsidR="00D0338B" w:rsidRDefault="00DB7EA0">
            <w:pPr>
              <w:keepNext/>
              <w:jc w:val="right"/>
            </w:pPr>
            <w:r>
              <w:rPr>
                <w:rFonts w:ascii="Arial" w:eastAsia="Arial" w:hAnsi="Arial" w:cs="Arial"/>
                <w:color w:val="000000"/>
                <w:sz w:val="16"/>
              </w:rPr>
              <w:t>248 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627C1124" w14:textId="77777777" w:rsidR="00D0338B" w:rsidRDefault="00D0338B">
            <w:pPr>
              <w:keepNext/>
              <w:jc w:val="right"/>
            </w:pPr>
          </w:p>
        </w:tc>
      </w:tr>
      <w:tr w:rsidR="00D0338B" w14:paraId="6407ADB3"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42C3F37B" w14:textId="77777777" w:rsidR="00D0338B" w:rsidRDefault="00DB7EA0">
            <w:pPr>
              <w:keepNext/>
              <w:ind w:left="135"/>
            </w:pPr>
            <w:r>
              <w:rPr>
                <w:rFonts w:ascii="Arial" w:eastAsia="Arial" w:hAnsi="Arial" w:cs="Arial"/>
                <w:color w:val="000000"/>
                <w:sz w:val="16"/>
              </w:rPr>
              <w:t>Construction work in progress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72608C00" w14:textId="77777777" w:rsidR="00D0338B" w:rsidRDefault="00DB7EA0">
            <w:pPr>
              <w:keepNext/>
              <w:jc w:val="right"/>
            </w:pPr>
            <w:r>
              <w:rPr>
                <w:rFonts w:ascii="Arial" w:eastAsia="Arial" w:hAnsi="Arial" w:cs="Arial"/>
                <w:color w:val="000000"/>
                <w:sz w:val="16"/>
              </w:rPr>
              <w:t>1,503 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7CE7BF6D"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A7BA4C" w14:textId="77777777" w:rsidR="00D0338B" w:rsidRDefault="00D0338B">
            <w:pPr>
              <w:keepNex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7AA2DFA1" w14:textId="77777777" w:rsidR="00D0338B" w:rsidRDefault="00DB7EA0">
            <w:pPr>
              <w:keepNext/>
              <w:jc w:val="right"/>
            </w:pPr>
            <w:r>
              <w:rPr>
                <w:rFonts w:ascii="Arial" w:eastAsia="Arial" w:hAnsi="Arial" w:cs="Arial"/>
                <w:color w:val="000000"/>
                <w:sz w:val="16"/>
              </w:rPr>
              <w:t>1,580 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556A2484" w14:textId="77777777" w:rsidR="00D0338B" w:rsidRDefault="00D0338B">
            <w:pPr>
              <w:keepNext/>
              <w:jc w:val="right"/>
            </w:pPr>
          </w:p>
        </w:tc>
      </w:tr>
      <w:tr w:rsidR="00D0338B" w14:paraId="2D8EC85D"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159F8C63" w14:textId="77777777" w:rsidR="00D0338B" w:rsidRDefault="00DB7EA0">
            <w:pPr>
              <w:keepNext/>
              <w:ind w:left="135"/>
            </w:pPr>
            <w:r>
              <w:rPr>
                <w:rFonts w:ascii="Arial" w:eastAsia="Arial" w:hAnsi="Arial" w:cs="Arial"/>
                <w:color w:val="000000"/>
                <w:sz w:val="16"/>
              </w:rPr>
              <w:t>Property, Plant and Equipment, net</w:t>
            </w: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center"/>
          </w:tcPr>
          <w:p w14:paraId="24D97C12" w14:textId="77777777" w:rsidR="00D0338B" w:rsidRDefault="00DB7EA0">
            <w:pPr>
              <w:keepNext/>
              <w:jc w:val="right"/>
            </w:pPr>
            <w:r>
              <w:rPr>
                <w:rFonts w:ascii="Arial" w:eastAsia="Arial" w:hAnsi="Arial" w:cs="Arial"/>
                <w:color w:val="000000"/>
                <w:sz w:val="16"/>
              </w:rPr>
              <w:t>38,892 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center"/>
          </w:tcPr>
          <w:p w14:paraId="46798AAB"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C98A94" w14:textId="77777777" w:rsidR="00D0338B" w:rsidRDefault="00D0338B">
            <w:pPr>
              <w:keepNext/>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center"/>
          </w:tcPr>
          <w:p w14:paraId="31D61C0B" w14:textId="77777777" w:rsidR="00D0338B" w:rsidRDefault="00DB7EA0">
            <w:pPr>
              <w:keepNext/>
              <w:jc w:val="right"/>
            </w:pPr>
            <w:r>
              <w:rPr>
                <w:rFonts w:ascii="Arial" w:eastAsia="Arial" w:hAnsi="Arial" w:cs="Arial"/>
                <w:color w:val="000000"/>
                <w:sz w:val="16"/>
              </w:rPr>
              <w:t>36,482 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center"/>
          </w:tcPr>
          <w:p w14:paraId="7DFEA863" w14:textId="77777777" w:rsidR="00D0338B" w:rsidRDefault="00D0338B">
            <w:pPr>
              <w:keepNext/>
              <w:jc w:val="right"/>
            </w:pPr>
          </w:p>
        </w:tc>
      </w:tr>
      <w:tr w:rsidR="00D0338B" w14:paraId="52E61B4F"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59A96EED" w14:textId="77777777" w:rsidR="00D0338B" w:rsidRDefault="00DB7EA0">
            <w:pPr>
              <w:keepNext/>
            </w:pPr>
            <w:r>
              <w:rPr>
                <w:rFonts w:ascii="Arial" w:eastAsia="Arial" w:hAnsi="Arial" w:cs="Arial"/>
                <w:color w:val="000000"/>
                <w:sz w:val="16"/>
              </w:rPr>
              <w:t>Noncurrent regulatory assets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center"/>
          </w:tcPr>
          <w:p w14:paraId="54115D74" w14:textId="77777777" w:rsidR="00D0338B" w:rsidRDefault="00DB7EA0">
            <w:pPr>
              <w:keepNext/>
              <w:jc w:val="right"/>
            </w:pPr>
            <w:r>
              <w:rPr>
                <w:rFonts w:ascii="Arial" w:eastAsia="Arial" w:hAnsi="Arial" w:cs="Arial"/>
                <w:color w:val="000000"/>
                <w:sz w:val="16"/>
              </w:rPr>
              <w:t>1,262 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center"/>
          </w:tcPr>
          <w:p w14:paraId="393AFF70"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662C6D" w14:textId="77777777" w:rsidR="00D0338B" w:rsidRDefault="00D0338B">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center"/>
          </w:tcPr>
          <w:p w14:paraId="15C3290B" w14:textId="77777777" w:rsidR="00D0338B" w:rsidRDefault="00DB7EA0">
            <w:pPr>
              <w:keepNext/>
              <w:jc w:val="right"/>
            </w:pPr>
            <w:r>
              <w:rPr>
                <w:rFonts w:ascii="Arial" w:eastAsia="Arial" w:hAnsi="Arial" w:cs="Arial"/>
                <w:color w:val="000000"/>
                <w:sz w:val="16"/>
              </w:rPr>
              <w:t>1,492 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center"/>
          </w:tcPr>
          <w:p w14:paraId="7B0A3D7F" w14:textId="77777777" w:rsidR="00D0338B" w:rsidRDefault="00D0338B">
            <w:pPr>
              <w:keepNext/>
              <w:jc w:val="right"/>
            </w:pPr>
          </w:p>
        </w:tc>
      </w:tr>
      <w:tr w:rsidR="00D0338B" w14:paraId="11A03B4F"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60B28E5F" w14:textId="77777777" w:rsidR="00D0338B" w:rsidRDefault="00DB7EA0">
            <w:pPr>
              <w:keepNext/>
            </w:pPr>
            <w:r>
              <w:rPr>
                <w:rFonts w:ascii="Arial" w:eastAsia="Arial" w:hAnsi="Arial" w:cs="Arial"/>
                <w:color w:val="000000"/>
                <w:sz w:val="16"/>
              </w:rPr>
              <w:t>Goodwill and other intangibles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3D0CC933" w14:textId="77777777" w:rsidR="00D0338B" w:rsidRDefault="00DB7EA0">
            <w:pPr>
              <w:keepNext/>
              <w:jc w:val="right"/>
            </w:pPr>
            <w:r>
              <w:rPr>
                <w:rFonts w:ascii="Arial" w:eastAsia="Arial" w:hAnsi="Arial" w:cs="Arial"/>
                <w:color w:val="000000"/>
                <w:sz w:val="16"/>
              </w:rPr>
              <w:t>4,038 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E8F7894"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119171"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2A05876D" w14:textId="77777777" w:rsidR="00D0338B" w:rsidRDefault="00DB7EA0">
            <w:pPr>
              <w:keepNext/>
              <w:jc w:val="right"/>
            </w:pPr>
            <w:r>
              <w:rPr>
                <w:rFonts w:ascii="Arial" w:eastAsia="Arial" w:hAnsi="Arial" w:cs="Arial"/>
                <w:color w:val="000000"/>
                <w:sz w:val="16"/>
              </w:rPr>
              <w:t>3,940 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1291F3D" w14:textId="77777777" w:rsidR="00D0338B" w:rsidRDefault="00D0338B">
            <w:pPr>
              <w:keepNext/>
              <w:jc w:val="right"/>
            </w:pPr>
          </w:p>
        </w:tc>
      </w:tr>
      <w:tr w:rsidR="00D0338B" w14:paraId="65C39623"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4B0FF880" w14:textId="77777777" w:rsidR="00D0338B" w:rsidRDefault="00DB7EA0">
            <w:pPr>
              <w:keepNext/>
            </w:pPr>
            <w:r>
              <w:rPr>
                <w:rFonts w:ascii="Arial" w:eastAsia="Arial" w:hAnsi="Arial" w:cs="Arial"/>
                <w:color w:val="000000"/>
                <w:sz w:val="16"/>
              </w:rPr>
              <w:t>Pension benefit asset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3EBD262F" w14:textId="77777777" w:rsidR="00D0338B" w:rsidRDefault="00DB7EA0">
            <w:pPr>
              <w:keepNext/>
              <w:jc w:val="right"/>
            </w:pPr>
            <w:r>
              <w:rPr>
                <w:rFonts w:ascii="Arial" w:eastAsia="Arial" w:hAnsi="Arial" w:cs="Arial"/>
                <w:color w:val="000000"/>
                <w:sz w:val="16"/>
              </w:rPr>
              <w:t>706 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796EB130"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906FA8"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0E184532" w14:textId="77777777" w:rsidR="00D0338B" w:rsidRDefault="00DB7EA0">
            <w:pPr>
              <w:keepNext/>
              <w:jc w:val="right"/>
            </w:pPr>
            <w:r>
              <w:rPr>
                <w:rFonts w:ascii="Arial" w:eastAsia="Arial" w:hAnsi="Arial" w:cs="Arial"/>
                <w:color w:val="000000"/>
                <w:sz w:val="16"/>
              </w:rPr>
              <w:t>464 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4233560" w14:textId="77777777" w:rsidR="00D0338B" w:rsidRDefault="00D0338B">
            <w:pPr>
              <w:keepNext/>
              <w:jc w:val="right"/>
            </w:pPr>
          </w:p>
        </w:tc>
      </w:tr>
      <w:tr w:rsidR="00D0338B" w14:paraId="3581953E"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1B63BCFF" w14:textId="77777777" w:rsidR="00D0338B" w:rsidRDefault="00DB7EA0">
            <w:pPr>
              <w:keepNext/>
            </w:pPr>
            <w:r>
              <w:rPr>
                <w:rFonts w:ascii="Arial" w:eastAsia="Arial" w:hAnsi="Arial" w:cs="Arial"/>
                <w:color w:val="000000"/>
                <w:sz w:val="16"/>
              </w:rPr>
              <w:t>Noncurrent price risk management assets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5C5634EA" w14:textId="77777777" w:rsidR="00D0338B" w:rsidRDefault="00DB7EA0">
            <w:pPr>
              <w:keepNext/>
              <w:jc w:val="right"/>
            </w:pPr>
            <w:r>
              <w:rPr>
                <w:rFonts w:ascii="Arial" w:eastAsia="Arial" w:hAnsi="Arial" w:cs="Arial"/>
                <w:color w:val="000000"/>
                <w:sz w:val="16"/>
              </w:rPr>
              <w:t>52 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7238CA46"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B4D466"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3F44EEFF" w14:textId="77777777" w:rsidR="00D0338B" w:rsidRDefault="00DB7EA0">
            <w:pPr>
              <w:keepNext/>
              <w:jc w:val="right"/>
            </w:pPr>
            <w:r>
              <w:rPr>
                <w:rFonts w:ascii="Arial" w:eastAsia="Arial" w:hAnsi="Arial" w:cs="Arial"/>
                <w:color w:val="000000"/>
                <w:sz w:val="16"/>
              </w:rPr>
              <w:t>149 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2919157" w14:textId="77777777" w:rsidR="00D0338B" w:rsidRDefault="00D0338B">
            <w:pPr>
              <w:keepNext/>
              <w:jc w:val="right"/>
            </w:pPr>
          </w:p>
        </w:tc>
      </w:tr>
      <w:tr w:rsidR="00D0338B" w14:paraId="780F6FD5"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47472ECF" w14:textId="77777777" w:rsidR="00D0338B" w:rsidRDefault="00DB7EA0">
            <w:pPr>
              <w:keepNext/>
            </w:pPr>
            <w:r>
              <w:rPr>
                <w:rFonts w:ascii="Arial" w:eastAsia="Arial" w:hAnsi="Arial" w:cs="Arial"/>
                <w:color w:val="000000"/>
                <w:sz w:val="16"/>
              </w:rPr>
              <w:t>Other noncurrent assets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10DB9963" w14:textId="77777777" w:rsidR="00D0338B" w:rsidRDefault="00DB7EA0">
            <w:pPr>
              <w:keepNext/>
              <w:jc w:val="right"/>
            </w:pPr>
            <w:r>
              <w:rPr>
                <w:rFonts w:ascii="Arial" w:eastAsia="Arial" w:hAnsi="Arial" w:cs="Arial"/>
                <w:color w:val="000000"/>
                <w:sz w:val="16"/>
              </w:rPr>
              <w:t>398 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53982ACE"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AEF163" w14:textId="77777777" w:rsidR="00D0338B" w:rsidRDefault="00D0338B">
            <w:pPr>
              <w:keepNex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456F208E" w14:textId="77777777" w:rsidR="00D0338B" w:rsidRDefault="00DB7EA0">
            <w:pPr>
              <w:keepNext/>
              <w:jc w:val="right"/>
            </w:pPr>
            <w:r>
              <w:rPr>
                <w:rFonts w:ascii="Arial" w:eastAsia="Arial" w:hAnsi="Arial" w:cs="Arial"/>
                <w:color w:val="000000"/>
                <w:sz w:val="16"/>
              </w:rPr>
              <w:t>386 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5340CD43" w14:textId="77777777" w:rsidR="00D0338B" w:rsidRDefault="00D0338B">
            <w:pPr>
              <w:keepNext/>
              <w:jc w:val="right"/>
            </w:pPr>
          </w:p>
        </w:tc>
      </w:tr>
      <w:tr w:rsidR="00D0338B" w14:paraId="0CEACF97"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03423F2F" w14:textId="77777777" w:rsidR="00D0338B" w:rsidRDefault="00DB7EA0">
            <w:pPr>
              <w:keepNext/>
            </w:pPr>
            <w:r>
              <w:rPr>
                <w:rFonts w:ascii="Arial" w:eastAsia="Arial" w:hAnsi="Arial" w:cs="Arial"/>
                <w:b/>
                <w:color w:val="000000"/>
                <w:sz w:val="16"/>
              </w:rPr>
              <w:t>Total Assets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1F7EAAD8" w14:textId="77777777" w:rsidR="00D0338B" w:rsidRDefault="00DB7EA0">
            <w:pPr>
              <w:keepNex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596CDFDC" w14:textId="77777777" w:rsidR="00D0338B" w:rsidRDefault="00DB7EA0">
            <w:pPr>
              <w:keepNext/>
              <w:jc w:val="right"/>
            </w:pPr>
            <w:r>
              <w:rPr>
                <w:rFonts w:ascii="Arial" w:eastAsia="Arial" w:hAnsi="Arial" w:cs="Arial"/>
                <w:color w:val="000000"/>
                <w:sz w:val="16"/>
              </w:rPr>
              <w:t>48,116 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40D4DF07"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7CDCCB"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6E2F3BFF" w14:textId="77777777" w:rsidR="00D0338B" w:rsidRDefault="00DB7EA0">
            <w:pPr>
              <w:keepNext/>
            </w:pPr>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251DA731" w14:textId="77777777" w:rsidR="00D0338B" w:rsidRDefault="00DB7EA0">
            <w:pPr>
              <w:keepNext/>
              <w:jc w:val="right"/>
            </w:pPr>
            <w:r>
              <w:rPr>
                <w:rFonts w:ascii="Arial" w:eastAsia="Arial" w:hAnsi="Arial" w:cs="Arial"/>
                <w:color w:val="000000"/>
                <w:sz w:val="16"/>
              </w:rPr>
              <w:t>45,680 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7DA3B885" w14:textId="77777777" w:rsidR="00D0338B" w:rsidRDefault="00D0338B">
            <w:pPr>
              <w:keepNext/>
              <w:jc w:val="right"/>
            </w:pPr>
          </w:p>
        </w:tc>
      </w:tr>
      <w:tr w:rsidR="00D0338B" w14:paraId="283B09D1" w14:textId="77777777">
        <w:trPr>
          <w:cantSplit/>
          <w:trHeight w:hRule="exact" w:val="240"/>
          <w:jc w:val="center"/>
        </w:trPr>
        <w:tc>
          <w:tcPr>
            <w:tcW w:w="7515" w:type="dxa"/>
            <w:tcBorders>
              <w:top w:val="nil"/>
              <w:left w:val="nil"/>
              <w:bottom w:val="nil"/>
              <w:right w:val="nil"/>
            </w:tcBorders>
            <w:shd w:val="clear" w:color="auto" w:fill="FFFFFF"/>
            <w:tcMar>
              <w:top w:w="0" w:type="dxa"/>
              <w:left w:w="0" w:type="dxa"/>
              <w:bottom w:w="0" w:type="dxa"/>
              <w:right w:w="0" w:type="dxa"/>
            </w:tcMar>
            <w:vAlign w:val="bottom"/>
          </w:tcPr>
          <w:p w14:paraId="272A7E57" w14:textId="77777777" w:rsidR="00D0338B" w:rsidRDefault="00D0338B">
            <w:pPr>
              <w:keepNext/>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243DA912"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8BECBB" w14:textId="77777777" w:rsidR="00D0338B" w:rsidRDefault="00D0338B">
            <w:pPr>
              <w:keepNext/>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F05AFED" w14:textId="77777777" w:rsidR="00D0338B" w:rsidRDefault="00D0338B">
            <w:pPr>
              <w:keepNext/>
            </w:pPr>
          </w:p>
        </w:tc>
      </w:tr>
      <w:tr w:rsidR="00D0338B" w14:paraId="6AE27205"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7BF44DEB" w14:textId="77777777" w:rsidR="00D0338B" w:rsidRDefault="00DB7EA0">
            <w:pPr>
              <w:keepNext/>
            </w:pPr>
            <w:r>
              <w:rPr>
                <w:rFonts w:ascii="Arial" w:eastAsia="Arial" w:hAnsi="Arial" w:cs="Arial"/>
                <w:b/>
                <w:color w:val="000000"/>
                <w:sz w:val="16"/>
              </w:rPr>
              <w:t>Liabilities and Equity</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665E3D02"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5773AE" w14:textId="77777777" w:rsidR="00D0338B" w:rsidRDefault="00D0338B">
            <w:pPr>
              <w:keepNext/>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5DFDC103" w14:textId="77777777" w:rsidR="00D0338B" w:rsidRDefault="00D0338B">
            <w:pPr>
              <w:keepNext/>
            </w:pPr>
          </w:p>
        </w:tc>
      </w:tr>
      <w:tr w:rsidR="00D0338B" w14:paraId="0224FB15"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0C3D132B" w14:textId="77777777" w:rsidR="00D0338B" w:rsidRDefault="00DB7EA0">
            <w:pPr>
              <w:keepNext/>
            </w:pPr>
            <w:r>
              <w:rPr>
                <w:rFonts w:ascii="Arial" w:eastAsia="Arial" w:hAnsi="Arial" w:cs="Arial"/>
                <w:color w:val="000000"/>
                <w:sz w:val="16"/>
              </w:rPr>
              <w:t>Short-term debt</w:t>
            </w:r>
          </w:p>
        </w:tc>
        <w:tc>
          <w:tcPr>
            <w:tcW w:w="160" w:type="dxa"/>
            <w:tcBorders>
              <w:top w:val="nil"/>
              <w:left w:val="nil"/>
              <w:bottom w:val="nil"/>
              <w:right w:val="nil"/>
            </w:tcBorders>
            <w:shd w:val="clear" w:color="auto" w:fill="FFFFFF"/>
            <w:tcMar>
              <w:top w:w="0" w:type="dxa"/>
              <w:left w:w="53" w:type="dxa"/>
              <w:bottom w:w="0" w:type="dxa"/>
              <w:right w:w="0" w:type="dxa"/>
            </w:tcMar>
            <w:vAlign w:val="center"/>
          </w:tcPr>
          <w:p w14:paraId="1E151B16" w14:textId="77777777" w:rsidR="00D0338B" w:rsidRDefault="00DB7EA0">
            <w:pPr>
              <w:keepNex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center"/>
          </w:tcPr>
          <w:p w14:paraId="2ABCD2E4" w14:textId="77777777" w:rsidR="00D0338B" w:rsidRDefault="00DB7EA0">
            <w:pPr>
              <w:keepNext/>
              <w:jc w:val="right"/>
            </w:pPr>
            <w:r>
              <w:rPr>
                <w:rFonts w:ascii="Arial" w:eastAsia="Arial" w:hAnsi="Arial" w:cs="Arial"/>
                <w:color w:val="000000"/>
                <w:sz w:val="16"/>
              </w:rPr>
              <w:t>1,662 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8F33BA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43A8A5" w14:textId="77777777" w:rsidR="00D0338B" w:rsidRDefault="00D0338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14:paraId="3CA97FE8" w14:textId="77777777" w:rsidR="00D0338B" w:rsidRDefault="00DB7EA0">
            <w:pPr>
              <w:keepNext/>
            </w:pPr>
            <w:r>
              <w:rPr>
                <w:rFonts w:ascii="Arial" w:eastAsia="Arial" w:hAnsi="Arial" w:cs="Arial"/>
                <w:color w:val="000000"/>
                <w:sz w:val="16"/>
              </w:rPr>
              <w:t>$</w:t>
            </w:r>
          </w:p>
        </w:tc>
        <w:tc>
          <w:tcPr>
            <w:tcW w:w="1045" w:type="dxa"/>
            <w:tcBorders>
              <w:top w:val="nil"/>
              <w:left w:val="nil"/>
              <w:bottom w:val="nil"/>
              <w:right w:val="nil"/>
            </w:tcBorders>
            <w:shd w:val="clear" w:color="auto" w:fill="FFFFFF"/>
            <w:tcMar>
              <w:top w:w="0" w:type="dxa"/>
              <w:left w:w="0" w:type="dxa"/>
              <w:bottom w:w="0" w:type="dxa"/>
              <w:right w:w="0" w:type="dxa"/>
            </w:tcMar>
            <w:vAlign w:val="center"/>
          </w:tcPr>
          <w:p w14:paraId="4D9CC970" w14:textId="77777777" w:rsidR="00D0338B" w:rsidRDefault="00DB7EA0">
            <w:pPr>
              <w:keepNext/>
              <w:jc w:val="right"/>
            </w:pPr>
            <w:r>
              <w:rPr>
                <w:rFonts w:ascii="Arial" w:eastAsia="Arial" w:hAnsi="Arial" w:cs="Arial"/>
                <w:color w:val="000000"/>
                <w:sz w:val="16"/>
              </w:rPr>
              <w:t>1,151 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2E8A595" w14:textId="77777777" w:rsidR="00D0338B" w:rsidRDefault="00D0338B">
            <w:pPr>
              <w:keepNext/>
              <w:jc w:val="right"/>
            </w:pPr>
          </w:p>
        </w:tc>
      </w:tr>
      <w:tr w:rsidR="00D0338B" w14:paraId="3017F7DE"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5FC0FFB6" w14:textId="77777777" w:rsidR="00D0338B" w:rsidRDefault="00DB7EA0">
            <w:pPr>
              <w:keepNext/>
            </w:pPr>
            <w:r>
              <w:rPr>
                <w:rFonts w:ascii="Arial" w:eastAsia="Arial" w:hAnsi="Arial" w:cs="Arial"/>
                <w:color w:val="000000"/>
                <w:sz w:val="16"/>
              </w:rPr>
              <w:t>Long-term debt due within one year</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0A1ED3F9" w14:textId="77777777" w:rsidR="00D0338B" w:rsidRDefault="00DB7EA0">
            <w:pPr>
              <w:keepNext/>
              <w:jc w:val="right"/>
            </w:pPr>
            <w:r>
              <w:rPr>
                <w:rFonts w:ascii="Arial" w:eastAsia="Arial" w:hAnsi="Arial" w:cs="Arial"/>
                <w:color w:val="000000"/>
                <w:sz w:val="16"/>
              </w:rPr>
              <w:t>1,574 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BB69C52"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97DDB8"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68218CD8" w14:textId="77777777" w:rsidR="00D0338B" w:rsidRDefault="00DB7EA0">
            <w:pPr>
              <w:keepNext/>
              <w:jc w:val="right"/>
            </w:pPr>
            <w:r>
              <w:rPr>
                <w:rFonts w:ascii="Arial" w:eastAsia="Arial" w:hAnsi="Arial" w:cs="Arial"/>
                <w:color w:val="000000"/>
                <w:sz w:val="16"/>
              </w:rPr>
              <w:t>1,172 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A2532BA" w14:textId="77777777" w:rsidR="00D0338B" w:rsidRDefault="00D0338B">
            <w:pPr>
              <w:keepNext/>
              <w:jc w:val="right"/>
            </w:pPr>
          </w:p>
        </w:tc>
      </w:tr>
      <w:tr w:rsidR="00D0338B" w14:paraId="3C4AA407"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228CC183" w14:textId="77777777" w:rsidR="00D0338B" w:rsidRDefault="00DB7EA0">
            <w:pPr>
              <w:keepNext/>
            </w:pPr>
            <w:r>
              <w:rPr>
                <w:rFonts w:ascii="Arial" w:eastAsia="Arial" w:hAnsi="Arial" w:cs="Arial"/>
                <w:color w:val="000000"/>
                <w:sz w:val="16"/>
              </w:rPr>
              <w:t>Accounts payable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0CE88B78" w14:textId="77777777" w:rsidR="00D0338B" w:rsidRDefault="00DB7EA0">
            <w:pPr>
              <w:keepNext/>
              <w:jc w:val="right"/>
            </w:pPr>
            <w:r>
              <w:rPr>
                <w:rFonts w:ascii="Arial" w:eastAsia="Arial" w:hAnsi="Arial" w:cs="Arial"/>
                <w:color w:val="000000"/>
                <w:sz w:val="16"/>
              </w:rPr>
              <w:t>965 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03B3C01"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79E229"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5DE5F2AB" w14:textId="77777777" w:rsidR="00D0338B" w:rsidRDefault="00DB7EA0">
            <w:pPr>
              <w:keepNext/>
              <w:jc w:val="right"/>
            </w:pPr>
            <w:r>
              <w:rPr>
                <w:rFonts w:ascii="Arial" w:eastAsia="Arial" w:hAnsi="Arial" w:cs="Arial"/>
                <w:color w:val="000000"/>
                <w:sz w:val="16"/>
              </w:rPr>
              <w:t>956 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99B77AA" w14:textId="77777777" w:rsidR="00D0338B" w:rsidRDefault="00D0338B">
            <w:pPr>
              <w:keepNext/>
              <w:jc w:val="right"/>
            </w:pPr>
          </w:p>
        </w:tc>
      </w:tr>
      <w:tr w:rsidR="00D0338B" w14:paraId="771246F6"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16837045" w14:textId="77777777" w:rsidR="00D0338B" w:rsidRDefault="00DB7EA0">
            <w:pPr>
              <w:keepNext/>
            </w:pPr>
            <w:r>
              <w:rPr>
                <w:rFonts w:ascii="Arial" w:eastAsia="Arial" w:hAnsi="Arial" w:cs="Arial"/>
                <w:color w:val="000000"/>
                <w:sz w:val="16"/>
              </w:rPr>
              <w:t>Other current liabilities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4B76C4BB" w14:textId="77777777" w:rsidR="00D0338B" w:rsidRDefault="00DB7EA0">
            <w:pPr>
              <w:keepNext/>
              <w:jc w:val="right"/>
            </w:pPr>
            <w:r>
              <w:rPr>
                <w:rFonts w:ascii="Arial" w:eastAsia="Arial" w:hAnsi="Arial" w:cs="Arial"/>
                <w:color w:val="000000"/>
                <w:sz w:val="16"/>
              </w:rPr>
              <w:t>1,776 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6662695"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E2E424"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165713E5" w14:textId="77777777" w:rsidR="00D0338B" w:rsidRDefault="00DB7EA0">
            <w:pPr>
              <w:keepNext/>
              <w:jc w:val="right"/>
            </w:pPr>
            <w:r>
              <w:rPr>
                <w:rFonts w:ascii="Arial" w:eastAsia="Arial" w:hAnsi="Arial" w:cs="Arial"/>
                <w:color w:val="000000"/>
                <w:sz w:val="16"/>
              </w:rPr>
              <w:t>1,621 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5A2F15D" w14:textId="77777777" w:rsidR="00D0338B" w:rsidRDefault="00D0338B">
            <w:pPr>
              <w:keepNext/>
              <w:jc w:val="right"/>
            </w:pPr>
          </w:p>
        </w:tc>
      </w:tr>
      <w:tr w:rsidR="00D0338B" w14:paraId="37C6BE96"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133944D4" w14:textId="77777777" w:rsidR="00D0338B" w:rsidRDefault="00DB7EA0">
            <w:pPr>
              <w:keepNext/>
            </w:pPr>
            <w:r>
              <w:rPr>
                <w:rFonts w:ascii="Arial" w:eastAsia="Arial" w:hAnsi="Arial" w:cs="Arial"/>
                <w:color w:val="000000"/>
                <w:sz w:val="16"/>
              </w:rPr>
              <w:t>Long-term debt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17123D6E" w14:textId="77777777" w:rsidR="00D0338B" w:rsidRDefault="00DB7EA0">
            <w:pPr>
              <w:keepNext/>
              <w:jc w:val="right"/>
            </w:pPr>
            <w:r>
              <w:rPr>
                <w:rFonts w:ascii="Arial" w:eastAsia="Arial" w:hAnsi="Arial" w:cs="Arial"/>
                <w:color w:val="000000"/>
                <w:sz w:val="16"/>
              </w:rPr>
              <w:t>21,553 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1CB5238"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1DFD17"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798357E2" w14:textId="77777777" w:rsidR="00D0338B" w:rsidRDefault="00DB7EA0">
            <w:pPr>
              <w:keepNext/>
              <w:jc w:val="right"/>
            </w:pPr>
            <w:r>
              <w:rPr>
                <w:rFonts w:ascii="Arial" w:eastAsia="Arial" w:hAnsi="Arial" w:cs="Arial"/>
                <w:color w:val="000000"/>
                <w:sz w:val="16"/>
              </w:rPr>
              <w:t>20,721 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ECF74F5" w14:textId="77777777" w:rsidR="00D0338B" w:rsidRDefault="00D0338B">
            <w:pPr>
              <w:keepNext/>
              <w:jc w:val="right"/>
            </w:pPr>
          </w:p>
        </w:tc>
      </w:tr>
      <w:tr w:rsidR="00D0338B" w14:paraId="679A1B9B"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5E8A4354" w14:textId="77777777" w:rsidR="00D0338B" w:rsidRDefault="00DB7EA0">
            <w:pPr>
              <w:keepNext/>
            </w:pPr>
            <w:r>
              <w:rPr>
                <w:rFonts w:ascii="Arial" w:eastAsia="Arial" w:hAnsi="Arial" w:cs="Arial"/>
                <w:color w:val="000000"/>
                <w:sz w:val="16"/>
              </w:rPr>
              <w:t>Deferred income taxes and investment tax credits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7945C840" w14:textId="77777777" w:rsidR="00D0338B" w:rsidRDefault="00DB7EA0">
            <w:pPr>
              <w:keepNext/>
              <w:jc w:val="right"/>
            </w:pPr>
            <w:r>
              <w:rPr>
                <w:rFonts w:ascii="Arial" w:eastAsia="Arial" w:hAnsi="Arial" w:cs="Arial"/>
                <w:color w:val="000000"/>
                <w:sz w:val="16"/>
              </w:rPr>
              <w:t>3,690 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5203E2F"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FE3929"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73E3BA8D" w14:textId="77777777" w:rsidR="00D0338B" w:rsidRDefault="00DB7EA0">
            <w:pPr>
              <w:keepNext/>
              <w:jc w:val="right"/>
            </w:pPr>
            <w:r>
              <w:rPr>
                <w:rFonts w:ascii="Arial" w:eastAsia="Arial" w:hAnsi="Arial" w:cs="Arial"/>
                <w:color w:val="000000"/>
                <w:sz w:val="16"/>
              </w:rPr>
              <w:t>3,212 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2789934" w14:textId="77777777" w:rsidR="00D0338B" w:rsidRDefault="00D0338B">
            <w:pPr>
              <w:keepNext/>
              <w:jc w:val="right"/>
            </w:pPr>
          </w:p>
        </w:tc>
      </w:tr>
      <w:tr w:rsidR="00D0338B" w14:paraId="35EC4FF0"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1E220099" w14:textId="77777777" w:rsidR="00D0338B" w:rsidRDefault="00DB7EA0">
            <w:pPr>
              <w:keepNext/>
            </w:pPr>
            <w:r>
              <w:rPr>
                <w:rFonts w:ascii="Arial" w:eastAsia="Arial" w:hAnsi="Arial" w:cs="Arial"/>
                <w:color w:val="000000"/>
                <w:sz w:val="16"/>
              </w:rPr>
              <w:t>Accrued pension obligations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197DBEA8" w14:textId="77777777" w:rsidR="00D0338B" w:rsidRDefault="00DB7EA0">
            <w:pPr>
              <w:keepNext/>
              <w:jc w:val="right"/>
            </w:pPr>
            <w:r>
              <w:rPr>
                <w:rFonts w:ascii="Arial" w:eastAsia="Arial" w:hAnsi="Arial" w:cs="Arial"/>
                <w:color w:val="000000"/>
                <w:sz w:val="16"/>
              </w:rPr>
              <w:t>200 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807FB0B"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367777"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0591D8FD" w14:textId="77777777" w:rsidR="00D0338B" w:rsidRDefault="00DB7EA0">
            <w:pPr>
              <w:keepNext/>
              <w:jc w:val="right"/>
            </w:pPr>
            <w:r>
              <w:rPr>
                <w:rFonts w:ascii="Arial" w:eastAsia="Arial" w:hAnsi="Arial" w:cs="Arial"/>
                <w:color w:val="000000"/>
                <w:sz w:val="16"/>
              </w:rPr>
              <w:t>587 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73E23B2" w14:textId="77777777" w:rsidR="00D0338B" w:rsidRDefault="00D0338B">
            <w:pPr>
              <w:keepNext/>
              <w:jc w:val="right"/>
            </w:pPr>
          </w:p>
        </w:tc>
      </w:tr>
      <w:tr w:rsidR="00D0338B" w14:paraId="3E74D37A"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45C36FB9" w14:textId="77777777" w:rsidR="00D0338B" w:rsidRDefault="00DB7EA0">
            <w:pPr>
              <w:keepNext/>
            </w:pPr>
            <w:r>
              <w:rPr>
                <w:rFonts w:ascii="Arial" w:eastAsia="Arial" w:hAnsi="Arial" w:cs="Arial"/>
                <w:color w:val="000000"/>
                <w:sz w:val="16"/>
              </w:rPr>
              <w:t>Asset retirement obligations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75A1D542" w14:textId="77777777" w:rsidR="00D0338B" w:rsidRDefault="00DB7EA0">
            <w:pPr>
              <w:keepNext/>
              <w:jc w:val="right"/>
            </w:pPr>
            <w:r>
              <w:rPr>
                <w:rFonts w:ascii="Arial" w:eastAsia="Arial" w:hAnsi="Arial" w:cs="Arial"/>
                <w:color w:val="000000"/>
                <w:sz w:val="16"/>
              </w:rPr>
              <w:t>200 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C7F4900"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2060F1"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6733AC27" w14:textId="77777777" w:rsidR="00D0338B" w:rsidRDefault="00DB7EA0">
            <w:pPr>
              <w:keepNext/>
              <w:jc w:val="right"/>
            </w:pPr>
            <w:r>
              <w:rPr>
                <w:rFonts w:ascii="Arial" w:eastAsia="Arial" w:hAnsi="Arial" w:cs="Arial"/>
                <w:color w:val="000000"/>
                <w:sz w:val="16"/>
              </w:rPr>
              <w:t>212 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460539F" w14:textId="77777777" w:rsidR="00D0338B" w:rsidRDefault="00D0338B">
            <w:pPr>
              <w:keepNext/>
              <w:jc w:val="right"/>
            </w:pPr>
          </w:p>
        </w:tc>
      </w:tr>
      <w:tr w:rsidR="00D0338B" w14:paraId="18360232"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22E1CB8F" w14:textId="77777777" w:rsidR="00D0338B" w:rsidRDefault="00DB7EA0">
            <w:pPr>
              <w:keepNext/>
            </w:pPr>
            <w:r>
              <w:rPr>
                <w:rFonts w:ascii="Arial" w:eastAsia="Arial" w:hAnsi="Arial" w:cs="Arial"/>
                <w:color w:val="000000"/>
                <w:sz w:val="16"/>
              </w:rPr>
              <w:t>Noncurrent regulatory liabilities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4B4AF76D" w14:textId="77777777" w:rsidR="00D0338B" w:rsidRDefault="00DB7EA0">
            <w:pPr>
              <w:keepNext/>
              <w:jc w:val="right"/>
            </w:pPr>
            <w:r>
              <w:rPr>
                <w:rFonts w:ascii="Arial" w:eastAsia="Arial" w:hAnsi="Arial" w:cs="Arial"/>
                <w:color w:val="000000"/>
                <w:sz w:val="16"/>
              </w:rPr>
              <w:t>2,530 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602FF92"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1337E5"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5853F3FA" w14:textId="77777777" w:rsidR="00D0338B" w:rsidRDefault="00DB7EA0">
            <w:pPr>
              <w:keepNext/>
              <w:jc w:val="right"/>
            </w:pPr>
            <w:r>
              <w:rPr>
                <w:rFonts w:ascii="Arial" w:eastAsia="Arial" w:hAnsi="Arial" w:cs="Arial"/>
                <w:color w:val="000000"/>
                <w:sz w:val="16"/>
              </w:rPr>
              <w:t>2,572 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7C3A8F8" w14:textId="77777777" w:rsidR="00D0338B" w:rsidRDefault="00D0338B">
            <w:pPr>
              <w:keepNext/>
              <w:jc w:val="right"/>
            </w:pPr>
          </w:p>
        </w:tc>
      </w:tr>
      <w:tr w:rsidR="00D0338B" w14:paraId="2B38F061"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6AFEF24E" w14:textId="77777777" w:rsidR="00D0338B" w:rsidRDefault="00DB7EA0">
            <w:pPr>
              <w:keepNext/>
            </w:pPr>
            <w:r>
              <w:rPr>
                <w:rFonts w:ascii="Arial" w:eastAsia="Arial" w:hAnsi="Arial" w:cs="Arial"/>
                <w:color w:val="000000"/>
                <w:sz w:val="16"/>
              </w:rPr>
              <w:t>Other deferred credits and noncurrent liabilities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51A298BD" w14:textId="77777777" w:rsidR="00D0338B" w:rsidRDefault="00DB7EA0">
            <w:pPr>
              <w:keepNext/>
              <w:jc w:val="right"/>
            </w:pPr>
            <w:r>
              <w:rPr>
                <w:rFonts w:ascii="Arial" w:eastAsia="Arial" w:hAnsi="Arial" w:cs="Arial"/>
                <w:color w:val="000000"/>
                <w:sz w:val="16"/>
              </w:rPr>
              <w:t>593 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5CA74FB"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F6B7B9"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6DF2F551" w14:textId="77777777" w:rsidR="00D0338B" w:rsidRDefault="00DB7EA0">
            <w:pPr>
              <w:keepNext/>
              <w:jc w:val="right"/>
            </w:pPr>
            <w:r>
              <w:rPr>
                <w:rFonts w:ascii="Arial" w:eastAsia="Arial" w:hAnsi="Arial" w:cs="Arial"/>
                <w:color w:val="000000"/>
                <w:sz w:val="16"/>
              </w:rPr>
              <w:t>485 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1CBA1EB6" w14:textId="77777777" w:rsidR="00D0338B" w:rsidRDefault="00D0338B">
            <w:pPr>
              <w:keepNext/>
              <w:jc w:val="right"/>
            </w:pPr>
          </w:p>
        </w:tc>
      </w:tr>
      <w:tr w:rsidR="00D0338B" w14:paraId="4451BBA6"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426A7EEC" w14:textId="77777777" w:rsidR="00D0338B" w:rsidRDefault="00DB7EA0">
            <w:pPr>
              <w:keepNext/>
            </w:pPr>
            <w:r>
              <w:rPr>
                <w:rFonts w:ascii="Arial" w:eastAsia="Arial" w:hAnsi="Arial" w:cs="Arial"/>
                <w:color w:val="000000"/>
                <w:sz w:val="16"/>
              </w:rPr>
              <w:t>Common stock and additional paid-in capital</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0A93FABB" w14:textId="77777777" w:rsidR="00D0338B" w:rsidRDefault="00DB7EA0">
            <w:pPr>
              <w:keepNext/>
              <w:jc w:val="right"/>
            </w:pPr>
            <w:r>
              <w:rPr>
                <w:rFonts w:ascii="Arial" w:eastAsia="Arial" w:hAnsi="Arial" w:cs="Arial"/>
                <w:color w:val="000000"/>
                <w:sz w:val="16"/>
              </w:rPr>
              <w:t>12,278 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A0686F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757473" w14:textId="77777777" w:rsidR="00D0338B" w:rsidRDefault="00D0338B">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center"/>
          </w:tcPr>
          <w:p w14:paraId="10011FC5" w14:textId="77777777" w:rsidR="00D0338B" w:rsidRDefault="00DB7EA0">
            <w:pPr>
              <w:keepNext/>
              <w:jc w:val="right"/>
            </w:pPr>
            <w:r>
              <w:rPr>
                <w:rFonts w:ascii="Arial" w:eastAsia="Arial" w:hAnsi="Arial" w:cs="Arial"/>
                <w:color w:val="000000"/>
                <w:sz w:val="16"/>
              </w:rPr>
              <w:t>12,222 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62C80B1" w14:textId="77777777" w:rsidR="00D0338B" w:rsidRDefault="00D0338B">
            <w:pPr>
              <w:keepNext/>
              <w:jc w:val="right"/>
            </w:pPr>
          </w:p>
        </w:tc>
      </w:tr>
      <w:tr w:rsidR="00D0338B" w14:paraId="4400B6F5"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0E98B5BC" w14:textId="77777777" w:rsidR="00D0338B" w:rsidRDefault="00DB7EA0">
            <w:pPr>
              <w:keepNext/>
            </w:pPr>
            <w:r>
              <w:rPr>
                <w:rFonts w:ascii="Arial" w:eastAsia="Arial" w:hAnsi="Arial" w:cs="Arial"/>
                <w:color w:val="000000"/>
                <w:sz w:val="16"/>
              </w:rPr>
              <w:t>Earnings reinvested</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1380AC64" w14:textId="77777777" w:rsidR="00D0338B" w:rsidRDefault="00DB7EA0">
            <w:pPr>
              <w:keepNext/>
              <w:jc w:val="right"/>
            </w:pPr>
            <w:r>
              <w:rPr>
                <w:rFonts w:ascii="Arial" w:eastAsia="Arial" w:hAnsi="Arial" w:cs="Arial"/>
                <w:color w:val="000000"/>
                <w:sz w:val="16"/>
              </w:rPr>
              <w:t>5,315 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A62298E"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E11364" w14:textId="77777777" w:rsidR="00D0338B" w:rsidRDefault="00D0338B">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center"/>
          </w:tcPr>
          <w:p w14:paraId="7FB19EE4" w14:textId="77777777" w:rsidR="00D0338B" w:rsidRDefault="00DB7EA0">
            <w:pPr>
              <w:keepNext/>
              <w:jc w:val="right"/>
            </w:pPr>
            <w:r>
              <w:rPr>
                <w:rFonts w:ascii="Arial" w:eastAsia="Arial" w:hAnsi="Arial" w:cs="Arial"/>
                <w:color w:val="000000"/>
                <w:sz w:val="16"/>
              </w:rPr>
              <w:t>5,127 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C29A08A" w14:textId="77777777" w:rsidR="00D0338B" w:rsidRDefault="00D0338B">
            <w:pPr>
              <w:keepNext/>
              <w:jc w:val="right"/>
            </w:pPr>
          </w:p>
        </w:tc>
      </w:tr>
      <w:tr w:rsidR="00D0338B" w14:paraId="2392E474" w14:textId="77777777">
        <w:trPr>
          <w:cantSplit/>
          <w:trHeight w:hRule="exact" w:val="240"/>
          <w:jc w:val="center"/>
        </w:trPr>
        <w:tc>
          <w:tcPr>
            <w:tcW w:w="7515" w:type="dxa"/>
            <w:tcBorders>
              <w:top w:val="nil"/>
              <w:left w:val="nil"/>
              <w:bottom w:val="nil"/>
              <w:right w:val="nil"/>
            </w:tcBorders>
            <w:shd w:val="clear" w:color="auto" w:fill="FFFFFF"/>
            <w:tcMar>
              <w:top w:w="0" w:type="dxa"/>
              <w:left w:w="53" w:type="dxa"/>
              <w:bottom w:w="0" w:type="dxa"/>
              <w:right w:w="53" w:type="dxa"/>
            </w:tcMar>
            <w:vAlign w:val="center"/>
          </w:tcPr>
          <w:p w14:paraId="6A77B343" w14:textId="77777777" w:rsidR="00D0338B" w:rsidRDefault="00DB7EA0">
            <w:pPr>
              <w:keepNext/>
            </w:pPr>
            <w:r>
              <w:rPr>
                <w:rFonts w:ascii="Arial" w:eastAsia="Arial" w:hAnsi="Arial" w:cs="Arial"/>
                <w:color w:val="000000"/>
                <w:sz w:val="16"/>
              </w:rPr>
              <w:t>Accumulated other comprehensive loss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0D24FE84" w14:textId="77777777" w:rsidR="00D0338B" w:rsidRDefault="00DB7EA0">
            <w:pPr>
              <w:keepNext/>
              <w:jc w:val="right"/>
            </w:pPr>
            <w:r>
              <w:rPr>
                <w:rFonts w:ascii="Arial" w:eastAsia="Arial" w:hAnsi="Arial" w:cs="Arial"/>
                <w:color w:val="000000"/>
                <w:sz w:val="16"/>
              </w:rPr>
              <w:t>(4,220)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5F44B404"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BAE1C8" w14:textId="77777777" w:rsidR="00D0338B" w:rsidRDefault="00D0338B">
            <w:pPr>
              <w:keepNex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417497D0" w14:textId="77777777" w:rsidR="00D0338B" w:rsidRDefault="00DB7EA0">
            <w:pPr>
              <w:keepNext/>
              <w:jc w:val="right"/>
            </w:pPr>
            <w:r>
              <w:rPr>
                <w:rFonts w:ascii="Arial" w:eastAsia="Arial" w:hAnsi="Arial" w:cs="Arial"/>
                <w:color w:val="000000"/>
                <w:sz w:val="16"/>
              </w:rPr>
              <w:t>(4,358)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30F0DE74" w14:textId="77777777" w:rsidR="00D0338B" w:rsidRDefault="00D0338B">
            <w:pPr>
              <w:keepNext/>
              <w:jc w:val="right"/>
            </w:pPr>
          </w:p>
        </w:tc>
      </w:tr>
      <w:tr w:rsidR="00D0338B" w14:paraId="3FC852E8" w14:textId="77777777">
        <w:trPr>
          <w:cantSplit/>
          <w:trHeight w:hRule="exact" w:val="240"/>
          <w:jc w:val="center"/>
        </w:trPr>
        <w:tc>
          <w:tcPr>
            <w:tcW w:w="7515" w:type="dxa"/>
            <w:tcBorders>
              <w:top w:val="nil"/>
              <w:left w:val="nil"/>
              <w:bottom w:val="nil"/>
              <w:right w:val="nil"/>
            </w:tcBorders>
            <w:shd w:val="clear" w:color="auto" w:fill="CCEEFF"/>
            <w:tcMar>
              <w:top w:w="0" w:type="dxa"/>
              <w:left w:w="53" w:type="dxa"/>
              <w:bottom w:w="0" w:type="dxa"/>
              <w:right w:w="53" w:type="dxa"/>
            </w:tcMar>
            <w:vAlign w:val="center"/>
          </w:tcPr>
          <w:p w14:paraId="55530796" w14:textId="77777777" w:rsidR="00D0338B" w:rsidRDefault="00DB7EA0">
            <w:r>
              <w:rPr>
                <w:rFonts w:ascii="Arial" w:eastAsia="Arial" w:hAnsi="Arial" w:cs="Arial"/>
                <w:b/>
                <w:color w:val="000000"/>
                <w:sz w:val="16"/>
              </w:rPr>
              <w:t>Total Liabilities and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6D56F056" w14:textId="77777777" w:rsidR="00D0338B" w:rsidRDefault="00DB7EA0">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3B4F1432" w14:textId="77777777" w:rsidR="00D0338B" w:rsidRDefault="00DB7EA0">
            <w:pPr>
              <w:jc w:val="right"/>
            </w:pPr>
            <w:r>
              <w:rPr>
                <w:rFonts w:ascii="Arial" w:eastAsia="Arial" w:hAnsi="Arial" w:cs="Arial"/>
                <w:color w:val="000000"/>
                <w:sz w:val="16"/>
              </w:rPr>
              <w:t>48,116 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63C68CDE"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16FE28"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342138BF" w14:textId="77777777" w:rsidR="00D0338B" w:rsidRDefault="00DB7EA0">
            <w:r>
              <w:rPr>
                <w:rFonts w:ascii="Arial" w:eastAsia="Arial" w:hAnsi="Arial" w:cs="Arial"/>
                <w:color w:val="000000"/>
                <w:sz w:val="16"/>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798AC6A8" w14:textId="77777777" w:rsidR="00D0338B" w:rsidRDefault="00DB7EA0">
            <w:pPr>
              <w:jc w:val="right"/>
            </w:pPr>
            <w:r>
              <w:rPr>
                <w:rFonts w:ascii="Arial" w:eastAsia="Arial" w:hAnsi="Arial" w:cs="Arial"/>
                <w:color w:val="000000"/>
                <w:sz w:val="16"/>
              </w:rPr>
              <w:t>45,680 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5BF421FA" w14:textId="77777777" w:rsidR="00D0338B" w:rsidRDefault="00D0338B">
            <w:pPr>
              <w:jc w:val="right"/>
            </w:pPr>
          </w:p>
        </w:tc>
      </w:tr>
    </w:tbl>
    <w:p w14:paraId="03215505" w14:textId="77777777" w:rsidR="00D0338B" w:rsidRDefault="00D0338B">
      <w:pPr>
        <w:spacing w:line="288" w:lineRule="auto"/>
        <w:ind w:left="450"/>
        <w:rPr>
          <w:rFonts w:ascii="Arial" w:eastAsia="Arial" w:hAnsi="Arial" w:cs="Arial"/>
          <w:sz w:val="16"/>
        </w:rPr>
      </w:pPr>
      <w:bookmarkStart w:id="1" w:name="Section2"/>
      <w:bookmarkEnd w:id="1"/>
    </w:p>
    <w:p w14:paraId="30C73FEA" w14:textId="77777777" w:rsidR="00D0338B" w:rsidRDefault="00DB7EA0">
      <w:pPr>
        <w:numPr>
          <w:ilvl w:val="0"/>
          <w:numId w:val="6"/>
        </w:numPr>
        <w:spacing w:line="288" w:lineRule="auto"/>
        <w:ind w:left="450"/>
        <w:rPr>
          <w:rFonts w:ascii="Arial" w:eastAsia="Arial" w:hAnsi="Arial" w:cs="Arial"/>
          <w:sz w:val="16"/>
        </w:rPr>
      </w:pPr>
      <w:r>
        <w:rPr>
          <w:rFonts w:ascii="Arial" w:eastAsia="Arial" w:hAnsi="Arial" w:cs="Arial"/>
          <w:sz w:val="16"/>
        </w:rPr>
        <w:t>The Financial Statements in this news release have been condensed and summarized for purposes of this presentation.  Please refer to PPL Corporation's periodic filings with the Securities and Exchange Commission for full financial statements, including note disclosure</w:t>
      </w:r>
      <w:r>
        <w:rPr>
          <w:sz w:val="16"/>
        </w:rPr>
        <w:t>.</w:t>
      </w:r>
    </w:p>
    <w:p w14:paraId="66EBB618" w14:textId="77777777" w:rsidR="00D0338B" w:rsidRDefault="00D0338B">
      <w:pPr>
        <w:spacing w:line="288" w:lineRule="auto"/>
        <w:rPr>
          <w:sz w:val="20"/>
        </w:rPr>
      </w:pPr>
    </w:p>
    <w:p w14:paraId="7BB5AF80" w14:textId="77777777" w:rsidR="00D0338B" w:rsidRDefault="00D0338B">
      <w:pPr>
        <w:spacing w:line="288" w:lineRule="auto"/>
        <w:sectPr w:rsidR="00D0338B">
          <w:footerReference w:type="default" r:id="rId16"/>
          <w:pgSz w:w="12240" w:h="15840"/>
          <w:pgMar w:top="720" w:right="720" w:bottom="720" w:left="1080" w:header="270" w:footer="270" w:gutter="0"/>
          <w:cols w:space="708"/>
        </w:sect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163"/>
        <w:gridCol w:w="852"/>
        <w:gridCol w:w="102"/>
        <w:gridCol w:w="76"/>
        <w:gridCol w:w="163"/>
        <w:gridCol w:w="852"/>
        <w:gridCol w:w="102"/>
        <w:gridCol w:w="76"/>
        <w:gridCol w:w="163"/>
        <w:gridCol w:w="852"/>
        <w:gridCol w:w="102"/>
        <w:gridCol w:w="76"/>
        <w:gridCol w:w="163"/>
        <w:gridCol w:w="852"/>
        <w:gridCol w:w="102"/>
      </w:tblGrid>
      <w:tr w:rsidR="00D0338B" w14:paraId="10667513" w14:textId="77777777">
        <w:trPr>
          <w:cantSplit/>
          <w:trHeight w:hRule="exact" w:val="255"/>
          <w:jc w:val="center"/>
        </w:trPr>
        <w:tc>
          <w:tcPr>
            <w:tcW w:w="10320" w:type="dxa"/>
            <w:gridSpan w:val="16"/>
            <w:tcBorders>
              <w:top w:val="nil"/>
              <w:left w:val="nil"/>
              <w:bottom w:val="nil"/>
              <w:right w:val="nil"/>
            </w:tcBorders>
            <w:tcMar>
              <w:top w:w="0" w:type="dxa"/>
              <w:left w:w="53" w:type="dxa"/>
              <w:bottom w:w="0" w:type="dxa"/>
              <w:right w:w="53" w:type="dxa"/>
            </w:tcMar>
            <w:vAlign w:val="center"/>
          </w:tcPr>
          <w:p w14:paraId="041ABA37" w14:textId="77777777" w:rsidR="00D0338B" w:rsidRDefault="00DB7EA0">
            <w:pPr>
              <w:keepNext/>
              <w:jc w:val="center"/>
            </w:pPr>
            <w:r>
              <w:rPr>
                <w:rFonts w:ascii="Arial" w:eastAsia="Arial" w:hAnsi="Arial" w:cs="Arial"/>
                <w:b/>
                <w:color w:val="000000"/>
                <w:sz w:val="16"/>
              </w:rPr>
              <w:lastRenderedPageBreak/>
              <w:t xml:space="preserve"> PPL CORPORATION AND SUBSIDIARIES</w:t>
            </w:r>
          </w:p>
        </w:tc>
      </w:tr>
      <w:tr w:rsidR="00D0338B" w14:paraId="7AC041EE" w14:textId="77777777">
        <w:trPr>
          <w:cantSplit/>
          <w:trHeight w:hRule="exact" w:val="255"/>
          <w:jc w:val="center"/>
        </w:trPr>
        <w:tc>
          <w:tcPr>
            <w:tcW w:w="5715" w:type="dxa"/>
            <w:tcBorders>
              <w:top w:val="nil"/>
              <w:left w:val="nil"/>
              <w:bottom w:val="nil"/>
              <w:right w:val="nil"/>
            </w:tcBorders>
            <w:tcMar>
              <w:top w:w="0" w:type="dxa"/>
              <w:left w:w="0" w:type="dxa"/>
              <w:bottom w:w="0" w:type="dxa"/>
              <w:right w:w="0" w:type="dxa"/>
            </w:tcMar>
            <w:vAlign w:val="bottom"/>
          </w:tcPr>
          <w:p w14:paraId="45A60A02" w14:textId="77777777" w:rsidR="00D0338B" w:rsidRDefault="00D0338B">
            <w:pPr>
              <w:keepNext/>
            </w:pPr>
          </w:p>
        </w:tc>
        <w:tc>
          <w:tcPr>
            <w:tcW w:w="1095" w:type="dxa"/>
            <w:gridSpan w:val="3"/>
            <w:tcBorders>
              <w:top w:val="nil"/>
              <w:left w:val="nil"/>
              <w:bottom w:val="nil"/>
              <w:right w:val="nil"/>
            </w:tcBorders>
            <w:tcMar>
              <w:top w:w="0" w:type="dxa"/>
              <w:left w:w="0" w:type="dxa"/>
              <w:bottom w:w="0" w:type="dxa"/>
              <w:right w:w="0" w:type="dxa"/>
            </w:tcMar>
            <w:vAlign w:val="bottom"/>
          </w:tcPr>
          <w:p w14:paraId="0DDAB9BC"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B140DF5" w14:textId="77777777" w:rsidR="00D0338B" w:rsidRDefault="00D0338B">
            <w:pPr>
              <w:keepNext/>
            </w:pPr>
          </w:p>
        </w:tc>
        <w:tc>
          <w:tcPr>
            <w:tcW w:w="1095" w:type="dxa"/>
            <w:gridSpan w:val="3"/>
            <w:tcBorders>
              <w:top w:val="nil"/>
              <w:left w:val="nil"/>
              <w:bottom w:val="nil"/>
              <w:right w:val="nil"/>
            </w:tcBorders>
            <w:tcMar>
              <w:top w:w="0" w:type="dxa"/>
              <w:left w:w="0" w:type="dxa"/>
              <w:bottom w:w="0" w:type="dxa"/>
              <w:right w:w="0" w:type="dxa"/>
            </w:tcMar>
            <w:vAlign w:val="bottom"/>
          </w:tcPr>
          <w:p w14:paraId="6B682D5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6A1664A" w14:textId="77777777" w:rsidR="00D0338B" w:rsidRDefault="00D0338B">
            <w:pPr>
              <w:keepNext/>
            </w:pPr>
          </w:p>
        </w:tc>
        <w:tc>
          <w:tcPr>
            <w:tcW w:w="1095" w:type="dxa"/>
            <w:gridSpan w:val="3"/>
            <w:tcBorders>
              <w:top w:val="nil"/>
              <w:left w:val="nil"/>
              <w:bottom w:val="nil"/>
              <w:right w:val="nil"/>
            </w:tcBorders>
            <w:tcMar>
              <w:top w:w="0" w:type="dxa"/>
              <w:left w:w="0" w:type="dxa"/>
              <w:bottom w:w="0" w:type="dxa"/>
              <w:right w:w="0" w:type="dxa"/>
            </w:tcMar>
            <w:vAlign w:val="bottom"/>
          </w:tcPr>
          <w:p w14:paraId="48DDD12A"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0AE1F83" w14:textId="77777777" w:rsidR="00D0338B" w:rsidRDefault="00D0338B">
            <w:pPr>
              <w:keepNext/>
            </w:pPr>
          </w:p>
        </w:tc>
        <w:tc>
          <w:tcPr>
            <w:tcW w:w="1095" w:type="dxa"/>
            <w:gridSpan w:val="3"/>
            <w:tcBorders>
              <w:top w:val="nil"/>
              <w:left w:val="nil"/>
              <w:bottom w:val="nil"/>
              <w:right w:val="nil"/>
            </w:tcBorders>
            <w:tcMar>
              <w:top w:w="0" w:type="dxa"/>
              <w:left w:w="0" w:type="dxa"/>
              <w:bottom w:w="0" w:type="dxa"/>
              <w:right w:w="0" w:type="dxa"/>
            </w:tcMar>
            <w:vAlign w:val="bottom"/>
          </w:tcPr>
          <w:p w14:paraId="32FBA39B" w14:textId="77777777" w:rsidR="00D0338B" w:rsidRDefault="00D0338B">
            <w:pPr>
              <w:keepNext/>
            </w:pPr>
          </w:p>
        </w:tc>
      </w:tr>
      <w:tr w:rsidR="00D0338B" w14:paraId="0388F76C" w14:textId="77777777">
        <w:trPr>
          <w:cantSplit/>
          <w:trHeight w:hRule="exact" w:val="255"/>
          <w:jc w:val="center"/>
        </w:trPr>
        <w:tc>
          <w:tcPr>
            <w:tcW w:w="10320" w:type="dxa"/>
            <w:gridSpan w:val="16"/>
            <w:tcBorders>
              <w:top w:val="nil"/>
              <w:left w:val="nil"/>
              <w:bottom w:val="nil"/>
              <w:right w:val="nil"/>
            </w:tcBorders>
            <w:tcMar>
              <w:top w:w="0" w:type="dxa"/>
              <w:left w:w="53" w:type="dxa"/>
              <w:bottom w:w="0" w:type="dxa"/>
              <w:right w:w="53" w:type="dxa"/>
            </w:tcMar>
            <w:vAlign w:val="center"/>
          </w:tcPr>
          <w:p w14:paraId="3CAE3DE3" w14:textId="77777777" w:rsidR="00D0338B" w:rsidRDefault="00DB7EA0">
            <w:pPr>
              <w:keepNext/>
              <w:jc w:val="center"/>
            </w:pPr>
            <w:r>
              <w:rPr>
                <w:rFonts w:ascii="Arial" w:eastAsia="Arial" w:hAnsi="Arial" w:cs="Arial"/>
                <w:b/>
                <w:color w:val="000000"/>
                <w:sz w:val="16"/>
              </w:rPr>
              <w:t xml:space="preserve"> Condensed Consolidated Statements of Income (Unaudited)</w:t>
            </w:r>
          </w:p>
        </w:tc>
      </w:tr>
      <w:tr w:rsidR="00D0338B" w14:paraId="6DB22E4B" w14:textId="77777777">
        <w:trPr>
          <w:cantSplit/>
          <w:trHeight w:hRule="exact" w:val="255"/>
          <w:jc w:val="center"/>
        </w:trPr>
        <w:tc>
          <w:tcPr>
            <w:tcW w:w="10320" w:type="dxa"/>
            <w:gridSpan w:val="16"/>
            <w:tcBorders>
              <w:top w:val="nil"/>
              <w:left w:val="nil"/>
              <w:bottom w:val="nil"/>
              <w:right w:val="nil"/>
            </w:tcBorders>
            <w:tcMar>
              <w:top w:w="0" w:type="dxa"/>
              <w:left w:w="53" w:type="dxa"/>
              <w:bottom w:w="0" w:type="dxa"/>
              <w:right w:w="53" w:type="dxa"/>
            </w:tcMar>
            <w:vAlign w:val="center"/>
          </w:tcPr>
          <w:p w14:paraId="3888A86D" w14:textId="77777777" w:rsidR="00D0338B" w:rsidRDefault="00DB7EA0">
            <w:pPr>
              <w:keepNext/>
              <w:jc w:val="center"/>
            </w:pPr>
            <w:r>
              <w:rPr>
                <w:rFonts w:ascii="Arial" w:eastAsia="Arial" w:hAnsi="Arial" w:cs="Arial"/>
                <w:b/>
                <w:color w:val="000000"/>
                <w:sz w:val="16"/>
              </w:rPr>
              <w:t>(Millions of Dollars, except share data)</w:t>
            </w:r>
          </w:p>
        </w:tc>
      </w:tr>
      <w:tr w:rsidR="00D0338B" w14:paraId="6973A51B" w14:textId="77777777">
        <w:trPr>
          <w:cantSplit/>
          <w:trHeight w:hRule="exact" w:val="255"/>
          <w:jc w:val="center"/>
        </w:trPr>
        <w:tc>
          <w:tcPr>
            <w:tcW w:w="5715" w:type="dxa"/>
            <w:tcBorders>
              <w:top w:val="nil"/>
              <w:left w:val="nil"/>
              <w:bottom w:val="nil"/>
              <w:right w:val="nil"/>
            </w:tcBorders>
            <w:tcMar>
              <w:top w:w="0" w:type="dxa"/>
              <w:left w:w="0" w:type="dxa"/>
              <w:bottom w:w="0" w:type="dxa"/>
              <w:right w:w="0" w:type="dxa"/>
            </w:tcMar>
            <w:vAlign w:val="bottom"/>
          </w:tcPr>
          <w:p w14:paraId="67A6E523" w14:textId="77777777" w:rsidR="00D0338B" w:rsidRDefault="00D0338B">
            <w:pPr>
              <w:keepNext/>
            </w:pPr>
          </w:p>
        </w:tc>
        <w:tc>
          <w:tcPr>
            <w:tcW w:w="2265" w:type="dxa"/>
            <w:gridSpan w:val="7"/>
            <w:tcBorders>
              <w:top w:val="nil"/>
              <w:left w:val="nil"/>
              <w:bottom w:val="nil"/>
              <w:right w:val="nil"/>
            </w:tcBorders>
            <w:tcMar>
              <w:top w:w="0" w:type="dxa"/>
              <w:left w:w="0" w:type="dxa"/>
              <w:bottom w:w="0" w:type="dxa"/>
              <w:right w:w="0" w:type="dxa"/>
            </w:tcMar>
            <w:vAlign w:val="bottom"/>
          </w:tcPr>
          <w:p w14:paraId="08B14D27"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4E9980E" w14:textId="77777777" w:rsidR="00D0338B" w:rsidRDefault="00D0338B">
            <w:pPr>
              <w:keepNext/>
            </w:pPr>
          </w:p>
        </w:tc>
        <w:tc>
          <w:tcPr>
            <w:tcW w:w="2265" w:type="dxa"/>
            <w:gridSpan w:val="7"/>
            <w:tcBorders>
              <w:top w:val="nil"/>
              <w:left w:val="nil"/>
              <w:bottom w:val="nil"/>
              <w:right w:val="nil"/>
            </w:tcBorders>
            <w:tcMar>
              <w:top w:w="0" w:type="dxa"/>
              <w:left w:w="0" w:type="dxa"/>
              <w:bottom w:w="0" w:type="dxa"/>
              <w:right w:w="0" w:type="dxa"/>
            </w:tcMar>
            <w:vAlign w:val="bottom"/>
          </w:tcPr>
          <w:p w14:paraId="607AFE1E" w14:textId="77777777" w:rsidR="00D0338B" w:rsidRDefault="00D0338B">
            <w:pPr>
              <w:keepNext/>
            </w:pPr>
          </w:p>
        </w:tc>
      </w:tr>
      <w:tr w:rsidR="00D0338B" w14:paraId="5162ED06" w14:textId="77777777">
        <w:trPr>
          <w:cantSplit/>
          <w:trHeight w:hRule="exact" w:val="420"/>
          <w:jc w:val="center"/>
        </w:trPr>
        <w:tc>
          <w:tcPr>
            <w:tcW w:w="5715" w:type="dxa"/>
            <w:tcBorders>
              <w:top w:val="nil"/>
              <w:left w:val="nil"/>
              <w:bottom w:val="nil"/>
              <w:right w:val="nil"/>
            </w:tcBorders>
            <w:tcMar>
              <w:top w:w="0" w:type="dxa"/>
              <w:left w:w="0" w:type="dxa"/>
              <w:bottom w:w="0" w:type="dxa"/>
              <w:right w:w="0" w:type="dxa"/>
            </w:tcMar>
            <w:vAlign w:val="bottom"/>
          </w:tcPr>
          <w:p w14:paraId="1491DF58" w14:textId="77777777" w:rsidR="00D0338B" w:rsidRDefault="00D0338B">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center"/>
          </w:tcPr>
          <w:p w14:paraId="3B31E0FA" w14:textId="77777777" w:rsidR="00D0338B" w:rsidRDefault="00DB7EA0">
            <w:pPr>
              <w:keepNext/>
              <w:jc w:val="center"/>
            </w:pPr>
            <w:r>
              <w:rPr>
                <w:rFonts w:ascii="Arial" w:eastAsia="Arial" w:hAnsi="Arial" w:cs="Arial"/>
                <w:b/>
                <w:color w:val="000000"/>
                <w:sz w:val="16"/>
              </w:rPr>
              <w:t>Three Months Ended December 31,</w:t>
            </w:r>
          </w:p>
        </w:tc>
        <w:tc>
          <w:tcPr>
            <w:tcW w:w="75" w:type="dxa"/>
            <w:tcBorders>
              <w:top w:val="nil"/>
              <w:left w:val="nil"/>
              <w:bottom w:val="nil"/>
              <w:right w:val="nil"/>
            </w:tcBorders>
            <w:tcMar>
              <w:top w:w="0" w:type="dxa"/>
              <w:left w:w="0" w:type="dxa"/>
              <w:bottom w:w="0" w:type="dxa"/>
              <w:right w:w="0" w:type="dxa"/>
            </w:tcMar>
            <w:vAlign w:val="bottom"/>
          </w:tcPr>
          <w:p w14:paraId="03909E88" w14:textId="77777777" w:rsidR="00D0338B" w:rsidRDefault="00D0338B">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center"/>
          </w:tcPr>
          <w:p w14:paraId="5E1E745D" w14:textId="77777777" w:rsidR="00D0338B" w:rsidRDefault="00DB7EA0">
            <w:pPr>
              <w:keepNext/>
              <w:jc w:val="center"/>
            </w:pPr>
            <w:r>
              <w:rPr>
                <w:rFonts w:ascii="Arial" w:eastAsia="Arial" w:hAnsi="Arial" w:cs="Arial"/>
                <w:b/>
                <w:color w:val="000000"/>
                <w:sz w:val="16"/>
              </w:rPr>
              <w:t>Year Ended             December 31,</w:t>
            </w:r>
          </w:p>
        </w:tc>
      </w:tr>
      <w:tr w:rsidR="00D0338B" w14:paraId="1E25CF5E" w14:textId="77777777">
        <w:trPr>
          <w:cantSplit/>
          <w:trHeight w:hRule="exact" w:val="255"/>
          <w:jc w:val="center"/>
        </w:trPr>
        <w:tc>
          <w:tcPr>
            <w:tcW w:w="5715" w:type="dxa"/>
            <w:tcBorders>
              <w:top w:val="nil"/>
              <w:left w:val="nil"/>
              <w:bottom w:val="nil"/>
              <w:right w:val="nil"/>
            </w:tcBorders>
            <w:tcMar>
              <w:top w:w="0" w:type="dxa"/>
              <w:left w:w="0" w:type="dxa"/>
              <w:bottom w:w="0" w:type="dxa"/>
              <w:right w:w="0" w:type="dxa"/>
            </w:tcMar>
            <w:vAlign w:val="bottom"/>
          </w:tcPr>
          <w:p w14:paraId="5B2BE5D5" w14:textId="77777777" w:rsidR="00D0338B" w:rsidRDefault="00D0338B">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center"/>
          </w:tcPr>
          <w:p w14:paraId="3E1CF060" w14:textId="77777777" w:rsidR="00D0338B" w:rsidRDefault="00DB7EA0">
            <w:pPr>
              <w:keepNext/>
              <w:jc w:val="center"/>
            </w:pPr>
            <w:r>
              <w:rPr>
                <w:rFonts w:ascii="Arial" w:eastAsia="Arial" w:hAnsi="Arial" w:cs="Arial"/>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73E5E1A" w14:textId="77777777" w:rsidR="00D0338B" w:rsidRDefault="00D0338B">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2EACF35F" w14:textId="77777777" w:rsidR="00D0338B" w:rsidRDefault="00DB7EA0">
            <w:pPr>
              <w:keepNext/>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14:paraId="3C015AF4" w14:textId="77777777" w:rsidR="00D0338B" w:rsidRDefault="00D0338B">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center"/>
          </w:tcPr>
          <w:p w14:paraId="1B0B1B82" w14:textId="77777777" w:rsidR="00D0338B" w:rsidRDefault="00DB7EA0">
            <w:pPr>
              <w:keepNext/>
              <w:jc w:val="center"/>
            </w:pPr>
            <w:r>
              <w:rPr>
                <w:rFonts w:ascii="Arial" w:eastAsia="Arial" w:hAnsi="Arial" w:cs="Arial"/>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42B0E0A" w14:textId="77777777" w:rsidR="00D0338B" w:rsidRDefault="00D0338B">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52C657DE" w14:textId="77777777" w:rsidR="00D0338B" w:rsidRDefault="00DB7EA0">
            <w:pPr>
              <w:keepNext/>
              <w:jc w:val="center"/>
            </w:pPr>
            <w:r>
              <w:rPr>
                <w:rFonts w:ascii="Arial" w:eastAsia="Arial" w:hAnsi="Arial" w:cs="Arial"/>
                <w:b/>
                <w:color w:val="000000"/>
                <w:sz w:val="16"/>
              </w:rPr>
              <w:t>2019</w:t>
            </w:r>
          </w:p>
        </w:tc>
      </w:tr>
      <w:tr w:rsidR="00D0338B" w14:paraId="7B561D66"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2B911C52" w14:textId="77777777" w:rsidR="00D0338B" w:rsidRDefault="00DB7EA0">
            <w:pPr>
              <w:keepNext/>
            </w:pPr>
            <w:r>
              <w:rPr>
                <w:rFonts w:ascii="Arial" w:eastAsia="Arial" w:hAnsi="Arial" w:cs="Arial"/>
                <w:b/>
                <w:color w:val="000000"/>
                <w:sz w:val="16"/>
              </w:rPr>
              <w:t>Operating Revenues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14:paraId="78F84117" w14:textId="77777777" w:rsidR="00D0338B" w:rsidRDefault="00DB7EA0">
            <w:pPr>
              <w:keepNext/>
            </w:pPr>
            <w:r>
              <w:rPr>
                <w:rFonts w:ascii="Arial" w:eastAsia="Arial" w:hAnsi="Arial" w:cs="Arial"/>
                <w:color w:val="000000"/>
                <w:sz w:val="16"/>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center"/>
          </w:tcPr>
          <w:p w14:paraId="66E5FE3F" w14:textId="77777777" w:rsidR="00D0338B" w:rsidRDefault="00DB7EA0">
            <w:pPr>
              <w:keepNext/>
              <w:jc w:val="right"/>
            </w:pPr>
            <w:r>
              <w:rPr>
                <w:rFonts w:ascii="Arial" w:eastAsia="Arial" w:hAnsi="Arial" w:cs="Arial"/>
                <w:color w:val="000000"/>
                <w:sz w:val="16"/>
              </w:rPr>
              <w:t>1,929 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2057B07F"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1ACA68"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14:paraId="21D3E28E" w14:textId="77777777" w:rsidR="00D0338B" w:rsidRDefault="00DB7EA0">
            <w:pPr>
              <w:keepNext/>
            </w:pPr>
            <w:r>
              <w:rPr>
                <w:rFonts w:ascii="Arial" w:eastAsia="Arial" w:hAnsi="Arial" w:cs="Arial"/>
                <w:color w:val="000000"/>
                <w:sz w:val="16"/>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center"/>
          </w:tcPr>
          <w:p w14:paraId="58A73534" w14:textId="77777777" w:rsidR="00D0338B" w:rsidRDefault="00DB7EA0">
            <w:pPr>
              <w:keepNext/>
              <w:jc w:val="right"/>
            </w:pPr>
            <w:r>
              <w:rPr>
                <w:rFonts w:ascii="Arial" w:eastAsia="Arial" w:hAnsi="Arial" w:cs="Arial"/>
                <w:color w:val="000000"/>
                <w:sz w:val="16"/>
              </w:rPr>
              <w:t>1,954 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21B10101"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805988"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14:paraId="3CF78BE6" w14:textId="77777777" w:rsidR="00D0338B" w:rsidRDefault="00DB7EA0">
            <w:pPr>
              <w:keepNext/>
            </w:pPr>
            <w:r>
              <w:rPr>
                <w:rFonts w:ascii="Arial" w:eastAsia="Arial" w:hAnsi="Arial" w:cs="Arial"/>
                <w:color w:val="000000"/>
                <w:sz w:val="16"/>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center"/>
          </w:tcPr>
          <w:p w14:paraId="7FBEDA0E" w14:textId="77777777" w:rsidR="00D0338B" w:rsidRDefault="00DB7EA0">
            <w:pPr>
              <w:keepNext/>
              <w:jc w:val="right"/>
            </w:pPr>
            <w:r>
              <w:rPr>
                <w:rFonts w:ascii="Arial" w:eastAsia="Arial" w:hAnsi="Arial" w:cs="Arial"/>
                <w:color w:val="000000"/>
                <w:sz w:val="16"/>
              </w:rPr>
              <w:t>7,607 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57C053AE"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571926"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14:paraId="106C7F9B" w14:textId="77777777" w:rsidR="00D0338B" w:rsidRDefault="00DB7EA0">
            <w:pPr>
              <w:keepNext/>
            </w:pPr>
            <w:r>
              <w:rPr>
                <w:rFonts w:ascii="Arial" w:eastAsia="Arial" w:hAnsi="Arial" w:cs="Arial"/>
                <w:color w:val="000000"/>
                <w:sz w:val="16"/>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center"/>
          </w:tcPr>
          <w:p w14:paraId="2D6804A6" w14:textId="77777777" w:rsidR="00D0338B" w:rsidRDefault="00DB7EA0">
            <w:pPr>
              <w:keepNext/>
              <w:jc w:val="right"/>
            </w:pPr>
            <w:r>
              <w:rPr>
                <w:rFonts w:ascii="Arial" w:eastAsia="Arial" w:hAnsi="Arial" w:cs="Arial"/>
                <w:color w:val="000000"/>
                <w:sz w:val="16"/>
              </w:rPr>
              <w:t>7,769 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0A8715A5" w14:textId="77777777" w:rsidR="00D0338B" w:rsidRDefault="00D0338B">
            <w:pPr>
              <w:keepNext/>
              <w:jc w:val="right"/>
            </w:pPr>
          </w:p>
        </w:tc>
      </w:tr>
      <w:tr w:rsidR="00D0338B" w14:paraId="6203D738" w14:textId="77777777">
        <w:trPr>
          <w:cantSplit/>
          <w:trHeight w:hRule="exact" w:val="180"/>
          <w:jc w:val="center"/>
        </w:trPr>
        <w:tc>
          <w:tcPr>
            <w:tcW w:w="5715" w:type="dxa"/>
            <w:tcBorders>
              <w:top w:val="nil"/>
              <w:left w:val="nil"/>
              <w:bottom w:val="nil"/>
              <w:right w:val="nil"/>
            </w:tcBorders>
            <w:shd w:val="clear" w:color="auto" w:fill="FFFFFF"/>
            <w:tcMar>
              <w:top w:w="0" w:type="dxa"/>
              <w:left w:w="0" w:type="dxa"/>
              <w:bottom w:w="0" w:type="dxa"/>
              <w:right w:w="0" w:type="dxa"/>
            </w:tcMar>
            <w:vAlign w:val="bottom"/>
          </w:tcPr>
          <w:p w14:paraId="31B2D6AE"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34E2982B"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F483FB"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067836A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D4C7D5"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1A030E3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446983"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159075CC" w14:textId="77777777" w:rsidR="00D0338B" w:rsidRDefault="00D0338B">
            <w:pPr>
              <w:keepNext/>
            </w:pPr>
          </w:p>
        </w:tc>
      </w:tr>
      <w:tr w:rsidR="00D0338B" w14:paraId="76D44164"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48647475" w14:textId="77777777" w:rsidR="00D0338B" w:rsidRDefault="00DB7EA0">
            <w:pPr>
              <w:keepNext/>
            </w:pPr>
            <w:r>
              <w:rPr>
                <w:rFonts w:ascii="Arial" w:eastAsia="Arial" w:hAnsi="Arial" w:cs="Arial"/>
                <w:b/>
                <w:color w:val="000000"/>
                <w:sz w:val="16"/>
              </w:rPr>
              <w:t>Operating Expenses</w:t>
            </w: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50D482AC"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A5D5FB"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0C0EBB54"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354163"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121A2B77"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022610"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1A7ADF46" w14:textId="77777777" w:rsidR="00D0338B" w:rsidRDefault="00D0338B">
            <w:pPr>
              <w:keepNext/>
            </w:pPr>
          </w:p>
        </w:tc>
      </w:tr>
      <w:tr w:rsidR="00D0338B" w14:paraId="56D163E5"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47DD85AD" w14:textId="77777777" w:rsidR="00D0338B" w:rsidRDefault="00DB7EA0">
            <w:pPr>
              <w:keepNext/>
              <w:ind w:left="135"/>
            </w:pPr>
            <w:r>
              <w:rPr>
                <w:rFonts w:ascii="Arial" w:eastAsia="Arial" w:hAnsi="Arial" w:cs="Arial"/>
                <w:color w:val="000000"/>
                <w:sz w:val="16"/>
              </w:rPr>
              <w:t>Operation</w:t>
            </w: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185E0A81"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C5A35E"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3B19494E"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1E0E6D"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201C4451"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758D4C"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73BA8D73" w14:textId="77777777" w:rsidR="00D0338B" w:rsidRDefault="00D0338B">
            <w:pPr>
              <w:keepNext/>
            </w:pPr>
          </w:p>
        </w:tc>
      </w:tr>
      <w:tr w:rsidR="00D0338B" w14:paraId="5FB405F8"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39F2306B" w14:textId="77777777" w:rsidR="00D0338B" w:rsidRDefault="00DB7EA0">
            <w:pPr>
              <w:keepNext/>
              <w:ind w:left="225"/>
            </w:pPr>
            <w:r>
              <w:rPr>
                <w:rFonts w:ascii="Arial" w:eastAsia="Arial" w:hAnsi="Arial" w:cs="Arial"/>
                <w:color w:val="000000"/>
                <w:sz w:val="16"/>
              </w:rPr>
              <w:t>Fuel</w:t>
            </w: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1B3845C0" w14:textId="77777777" w:rsidR="00D0338B" w:rsidRDefault="00DB7EA0">
            <w:pPr>
              <w:keepNext/>
              <w:jc w:val="right"/>
            </w:pPr>
            <w:r>
              <w:rPr>
                <w:rFonts w:ascii="Arial" w:eastAsia="Arial" w:hAnsi="Arial" w:cs="Arial"/>
                <w:color w:val="000000"/>
                <w:sz w:val="16"/>
              </w:rPr>
              <w:t>154 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8D89829"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524CB1" w14:textId="77777777" w:rsidR="00D0338B" w:rsidRDefault="00D0338B">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5854D613" w14:textId="77777777" w:rsidR="00D0338B" w:rsidRDefault="00DB7EA0">
            <w:pPr>
              <w:keepNext/>
              <w:jc w:val="right"/>
            </w:pPr>
            <w:r>
              <w:rPr>
                <w:rFonts w:ascii="Arial" w:eastAsia="Arial" w:hAnsi="Arial" w:cs="Arial"/>
                <w:color w:val="000000"/>
                <w:sz w:val="16"/>
              </w:rPr>
              <w:t>153 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49A58472"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D6F8AE" w14:textId="77777777" w:rsidR="00D0338B" w:rsidRDefault="00D0338B">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6B0F214C" w14:textId="77777777" w:rsidR="00D0338B" w:rsidRDefault="00DB7EA0">
            <w:pPr>
              <w:keepNext/>
              <w:jc w:val="right"/>
            </w:pPr>
            <w:r>
              <w:rPr>
                <w:rFonts w:ascii="Arial" w:eastAsia="Arial" w:hAnsi="Arial" w:cs="Arial"/>
                <w:color w:val="000000"/>
                <w:sz w:val="16"/>
              </w:rPr>
              <w:t>632 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E7D44A4"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BF0DEF" w14:textId="77777777" w:rsidR="00D0338B" w:rsidRDefault="00D0338B">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4A86792B" w14:textId="77777777" w:rsidR="00D0338B" w:rsidRDefault="00DB7EA0">
            <w:pPr>
              <w:keepNext/>
              <w:jc w:val="right"/>
            </w:pPr>
            <w:r>
              <w:rPr>
                <w:rFonts w:ascii="Arial" w:eastAsia="Arial" w:hAnsi="Arial" w:cs="Arial"/>
                <w:color w:val="000000"/>
                <w:sz w:val="16"/>
              </w:rPr>
              <w:t>709 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3E33D51" w14:textId="77777777" w:rsidR="00D0338B" w:rsidRDefault="00D0338B">
            <w:pPr>
              <w:keepNext/>
              <w:jc w:val="right"/>
            </w:pPr>
          </w:p>
        </w:tc>
      </w:tr>
      <w:tr w:rsidR="00D0338B" w14:paraId="7DD3C883"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1855E81E" w14:textId="77777777" w:rsidR="00D0338B" w:rsidRDefault="00DB7EA0">
            <w:pPr>
              <w:keepNext/>
              <w:ind w:left="225"/>
            </w:pPr>
            <w:r>
              <w:rPr>
                <w:rFonts w:ascii="Arial" w:eastAsia="Arial" w:hAnsi="Arial" w:cs="Arial"/>
                <w:color w:val="000000"/>
                <w:sz w:val="16"/>
              </w:rPr>
              <w:t>Energy purchases</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32B68564" w14:textId="77777777" w:rsidR="00D0338B" w:rsidRDefault="00DB7EA0">
            <w:pPr>
              <w:keepNext/>
              <w:jc w:val="right"/>
            </w:pPr>
            <w:r>
              <w:rPr>
                <w:rFonts w:ascii="Arial" w:eastAsia="Arial" w:hAnsi="Arial" w:cs="Arial"/>
                <w:color w:val="000000"/>
                <w:sz w:val="16"/>
              </w:rPr>
              <w:t>164 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F28138A"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82502D"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254AAD49" w14:textId="77777777" w:rsidR="00D0338B" w:rsidRDefault="00DB7EA0">
            <w:pPr>
              <w:keepNext/>
              <w:jc w:val="right"/>
            </w:pPr>
            <w:r>
              <w:rPr>
                <w:rFonts w:ascii="Arial" w:eastAsia="Arial" w:hAnsi="Arial" w:cs="Arial"/>
                <w:color w:val="000000"/>
                <w:sz w:val="16"/>
              </w:rPr>
              <w:t>185 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CE68251"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222B20"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23DD5254" w14:textId="77777777" w:rsidR="00D0338B" w:rsidRDefault="00DB7EA0">
            <w:pPr>
              <w:keepNext/>
              <w:jc w:val="right"/>
            </w:pPr>
            <w:r>
              <w:rPr>
                <w:rFonts w:ascii="Arial" w:eastAsia="Arial" w:hAnsi="Arial" w:cs="Arial"/>
                <w:color w:val="000000"/>
                <w:sz w:val="16"/>
              </w:rPr>
              <w:t>634 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7CAC22F9"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C6AF14"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4B377F96" w14:textId="77777777" w:rsidR="00D0338B" w:rsidRDefault="00DB7EA0">
            <w:pPr>
              <w:keepNext/>
              <w:jc w:val="right"/>
            </w:pPr>
            <w:r>
              <w:rPr>
                <w:rFonts w:ascii="Arial" w:eastAsia="Arial" w:hAnsi="Arial" w:cs="Arial"/>
                <w:color w:val="000000"/>
                <w:sz w:val="16"/>
              </w:rPr>
              <w:t>723 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B2677EF" w14:textId="77777777" w:rsidR="00D0338B" w:rsidRDefault="00D0338B">
            <w:pPr>
              <w:keepNext/>
              <w:jc w:val="right"/>
            </w:pPr>
          </w:p>
        </w:tc>
      </w:tr>
      <w:tr w:rsidR="00D0338B" w14:paraId="36A6D387"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40C04EBD" w14:textId="77777777" w:rsidR="00D0338B" w:rsidRDefault="00DB7EA0">
            <w:pPr>
              <w:keepNext/>
              <w:ind w:left="225"/>
            </w:pPr>
            <w:r>
              <w:rPr>
                <w:rFonts w:ascii="Arial" w:eastAsia="Arial" w:hAnsi="Arial" w:cs="Arial"/>
                <w:color w:val="000000"/>
                <w:sz w:val="16"/>
              </w:rPr>
              <w:t>Other operation and maintenance</w:t>
            </w: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2C9979F5" w14:textId="77777777" w:rsidR="00D0338B" w:rsidRDefault="00DB7EA0">
            <w:pPr>
              <w:keepNext/>
              <w:jc w:val="right"/>
            </w:pPr>
            <w:r>
              <w:rPr>
                <w:rFonts w:ascii="Arial" w:eastAsia="Arial" w:hAnsi="Arial" w:cs="Arial"/>
                <w:color w:val="000000"/>
                <w:sz w:val="16"/>
              </w:rPr>
              <w:t>498 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16E888EB"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D95BD6" w14:textId="77777777" w:rsidR="00D0338B" w:rsidRDefault="00D0338B">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3AA510FC" w14:textId="77777777" w:rsidR="00D0338B" w:rsidRDefault="00DB7EA0">
            <w:pPr>
              <w:keepNext/>
              <w:jc w:val="right"/>
            </w:pPr>
            <w:r>
              <w:rPr>
                <w:rFonts w:ascii="Arial" w:eastAsia="Arial" w:hAnsi="Arial" w:cs="Arial"/>
                <w:color w:val="000000"/>
                <w:sz w:val="16"/>
              </w:rPr>
              <w:t>533 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9897148"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CBB9E9" w14:textId="77777777" w:rsidR="00D0338B" w:rsidRDefault="00D0338B">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1AA808EC" w14:textId="77777777" w:rsidR="00D0338B" w:rsidRDefault="00DB7EA0">
            <w:pPr>
              <w:keepNext/>
              <w:jc w:val="right"/>
            </w:pPr>
            <w:r>
              <w:rPr>
                <w:rFonts w:ascii="Arial" w:eastAsia="Arial" w:hAnsi="Arial" w:cs="Arial"/>
                <w:color w:val="000000"/>
                <w:sz w:val="16"/>
              </w:rPr>
              <w:t>1,944 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3B6B0114"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1530B6" w14:textId="77777777" w:rsidR="00D0338B" w:rsidRDefault="00D0338B">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2EFA84CB" w14:textId="77777777" w:rsidR="00D0338B" w:rsidRDefault="00DB7EA0">
            <w:pPr>
              <w:keepNext/>
              <w:jc w:val="right"/>
            </w:pPr>
            <w:r>
              <w:rPr>
                <w:rFonts w:ascii="Arial" w:eastAsia="Arial" w:hAnsi="Arial" w:cs="Arial"/>
                <w:color w:val="000000"/>
                <w:sz w:val="16"/>
              </w:rPr>
              <w:t>1,985 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5BC52EF2" w14:textId="77777777" w:rsidR="00D0338B" w:rsidRDefault="00D0338B">
            <w:pPr>
              <w:keepNext/>
              <w:jc w:val="right"/>
            </w:pPr>
          </w:p>
        </w:tc>
      </w:tr>
      <w:tr w:rsidR="00D0338B" w14:paraId="60173932"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390DC52D" w14:textId="77777777" w:rsidR="00D0338B" w:rsidRDefault="00DB7EA0">
            <w:pPr>
              <w:keepNext/>
              <w:ind w:left="135"/>
            </w:pPr>
            <w:r>
              <w:rPr>
                <w:rFonts w:ascii="Arial" w:eastAsia="Arial" w:hAnsi="Arial" w:cs="Arial"/>
                <w:color w:val="000000"/>
                <w:sz w:val="16"/>
              </w:rPr>
              <w:t>Depreciation</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60520EBC" w14:textId="77777777" w:rsidR="00D0338B" w:rsidRDefault="00DB7EA0">
            <w:pPr>
              <w:keepNext/>
              <w:jc w:val="right"/>
            </w:pPr>
            <w:r>
              <w:rPr>
                <w:rFonts w:ascii="Arial" w:eastAsia="Arial" w:hAnsi="Arial" w:cs="Arial"/>
                <w:color w:val="000000"/>
                <w:sz w:val="16"/>
              </w:rPr>
              <w:t>328 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70C35C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775028"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0E4AF1F7" w14:textId="77777777" w:rsidR="00D0338B" w:rsidRDefault="00DB7EA0">
            <w:pPr>
              <w:keepNext/>
              <w:jc w:val="right"/>
            </w:pPr>
            <w:r>
              <w:rPr>
                <w:rFonts w:ascii="Arial" w:eastAsia="Arial" w:hAnsi="Arial" w:cs="Arial"/>
                <w:color w:val="000000"/>
                <w:sz w:val="16"/>
              </w:rPr>
              <w:t>309 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C3145A1"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491478"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43A3177C" w14:textId="77777777" w:rsidR="00D0338B" w:rsidRDefault="00DB7EA0">
            <w:pPr>
              <w:keepNext/>
              <w:jc w:val="right"/>
            </w:pPr>
            <w:r>
              <w:rPr>
                <w:rFonts w:ascii="Arial" w:eastAsia="Arial" w:hAnsi="Arial" w:cs="Arial"/>
                <w:color w:val="000000"/>
                <w:sz w:val="16"/>
              </w:rPr>
              <w:t>1,287 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2C8CC5B"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54B6DE"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68F84D7E" w14:textId="77777777" w:rsidR="00D0338B" w:rsidRDefault="00DB7EA0">
            <w:pPr>
              <w:keepNext/>
              <w:jc w:val="right"/>
            </w:pPr>
            <w:r>
              <w:rPr>
                <w:rFonts w:ascii="Arial" w:eastAsia="Arial" w:hAnsi="Arial" w:cs="Arial"/>
                <w:color w:val="000000"/>
                <w:sz w:val="16"/>
              </w:rPr>
              <w:t>1,199 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8C1DBBA" w14:textId="77777777" w:rsidR="00D0338B" w:rsidRDefault="00D0338B">
            <w:pPr>
              <w:keepNext/>
              <w:jc w:val="right"/>
            </w:pPr>
          </w:p>
        </w:tc>
      </w:tr>
      <w:tr w:rsidR="00D0338B" w14:paraId="636B16AD"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75FA3011" w14:textId="77777777" w:rsidR="00D0338B" w:rsidRDefault="00DB7EA0">
            <w:pPr>
              <w:keepNext/>
              <w:ind w:left="135"/>
            </w:pPr>
            <w:r>
              <w:rPr>
                <w:rFonts w:ascii="Arial" w:eastAsia="Arial" w:hAnsi="Arial" w:cs="Arial"/>
                <w:color w:val="000000"/>
                <w:sz w:val="16"/>
              </w:rPr>
              <w:t>Taxes, other than income</w:t>
            </w: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1A12F483" w14:textId="77777777" w:rsidR="00D0338B" w:rsidRDefault="00DB7EA0">
            <w:pPr>
              <w:keepNext/>
              <w:jc w:val="right"/>
            </w:pPr>
            <w:r>
              <w:rPr>
                <w:rFonts w:ascii="Arial" w:eastAsia="Arial" w:hAnsi="Arial" w:cs="Arial"/>
                <w:color w:val="000000"/>
                <w:sz w:val="16"/>
              </w:rPr>
              <w:t>81 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643B14A3"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93A341" w14:textId="77777777" w:rsidR="00D0338B" w:rsidRDefault="00D0338B">
            <w:pPr>
              <w:keepNext/>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3FEADFFC" w14:textId="77777777" w:rsidR="00D0338B" w:rsidRDefault="00DB7EA0">
            <w:pPr>
              <w:keepNext/>
              <w:jc w:val="right"/>
            </w:pPr>
            <w:r>
              <w:rPr>
                <w:rFonts w:ascii="Arial" w:eastAsia="Arial" w:hAnsi="Arial" w:cs="Arial"/>
                <w:color w:val="000000"/>
                <w:sz w:val="16"/>
              </w:rPr>
              <w:t>81 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309FAB8D"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85145D" w14:textId="77777777" w:rsidR="00D0338B" w:rsidRDefault="00D0338B">
            <w:pPr>
              <w:keepNext/>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246B3351" w14:textId="77777777" w:rsidR="00D0338B" w:rsidRDefault="00DB7EA0">
            <w:pPr>
              <w:keepNext/>
              <w:jc w:val="right"/>
            </w:pPr>
            <w:r>
              <w:rPr>
                <w:rFonts w:ascii="Arial" w:eastAsia="Arial" w:hAnsi="Arial" w:cs="Arial"/>
                <w:color w:val="000000"/>
                <w:sz w:val="16"/>
              </w:rPr>
              <w:t>307 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3F9C63E5"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B12E3E" w14:textId="77777777" w:rsidR="00D0338B" w:rsidRDefault="00D0338B">
            <w:pPr>
              <w:keepNext/>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4147E980" w14:textId="77777777" w:rsidR="00D0338B" w:rsidRDefault="00DB7EA0">
            <w:pPr>
              <w:keepNext/>
              <w:jc w:val="right"/>
            </w:pPr>
            <w:r>
              <w:rPr>
                <w:rFonts w:ascii="Arial" w:eastAsia="Arial" w:hAnsi="Arial" w:cs="Arial"/>
                <w:color w:val="000000"/>
                <w:sz w:val="16"/>
              </w:rPr>
              <w:t>313 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7ED59968" w14:textId="77777777" w:rsidR="00D0338B" w:rsidRDefault="00D0338B">
            <w:pPr>
              <w:keepNext/>
              <w:jc w:val="right"/>
            </w:pPr>
          </w:p>
        </w:tc>
      </w:tr>
      <w:tr w:rsidR="00D0338B" w14:paraId="07CE27A0"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1E51DA45" w14:textId="77777777" w:rsidR="00D0338B" w:rsidRDefault="00DB7EA0">
            <w:pPr>
              <w:keepNext/>
              <w:ind w:left="135"/>
            </w:pPr>
            <w:r>
              <w:rPr>
                <w:rFonts w:ascii="Arial" w:eastAsia="Arial" w:hAnsi="Arial" w:cs="Arial"/>
                <w:color w:val="000000"/>
                <w:sz w:val="16"/>
              </w:rPr>
              <w:t>Total Operating Expenses</w:t>
            </w:r>
          </w:p>
        </w:tc>
        <w:tc>
          <w:tcPr>
            <w:tcW w:w="9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452F405D" w14:textId="77777777" w:rsidR="00D0338B" w:rsidRDefault="00DB7EA0">
            <w:pPr>
              <w:keepNext/>
              <w:jc w:val="right"/>
            </w:pPr>
            <w:r>
              <w:rPr>
                <w:rFonts w:ascii="Arial" w:eastAsia="Arial" w:hAnsi="Arial" w:cs="Arial"/>
                <w:color w:val="000000"/>
                <w:sz w:val="16"/>
              </w:rPr>
              <w:t>1,225 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40C50B9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59CD6F" w14:textId="77777777" w:rsidR="00D0338B" w:rsidRDefault="00D0338B">
            <w:pPr>
              <w:keepNext/>
            </w:pPr>
          </w:p>
        </w:tc>
        <w:tc>
          <w:tcPr>
            <w:tcW w:w="9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2A2AFCA8" w14:textId="77777777" w:rsidR="00D0338B" w:rsidRDefault="00DB7EA0">
            <w:pPr>
              <w:keepNext/>
              <w:jc w:val="right"/>
            </w:pPr>
            <w:r>
              <w:rPr>
                <w:rFonts w:ascii="Arial" w:eastAsia="Arial" w:hAnsi="Arial" w:cs="Arial"/>
                <w:color w:val="000000"/>
                <w:sz w:val="16"/>
              </w:rPr>
              <w:t>1,261 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4E2B90FF"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6669EA" w14:textId="77777777" w:rsidR="00D0338B" w:rsidRDefault="00D0338B">
            <w:pPr>
              <w:keepNext/>
            </w:pPr>
          </w:p>
        </w:tc>
        <w:tc>
          <w:tcPr>
            <w:tcW w:w="9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0BFA29B3" w14:textId="77777777" w:rsidR="00D0338B" w:rsidRDefault="00DB7EA0">
            <w:pPr>
              <w:keepNext/>
              <w:jc w:val="right"/>
            </w:pPr>
            <w:r>
              <w:rPr>
                <w:rFonts w:ascii="Arial" w:eastAsia="Arial" w:hAnsi="Arial" w:cs="Arial"/>
                <w:color w:val="000000"/>
                <w:sz w:val="16"/>
              </w:rPr>
              <w:t>4,804 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171E7CE4"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A9E789" w14:textId="77777777" w:rsidR="00D0338B" w:rsidRDefault="00D0338B">
            <w:pPr>
              <w:keepNext/>
            </w:pPr>
          </w:p>
        </w:tc>
        <w:tc>
          <w:tcPr>
            <w:tcW w:w="9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1C2428CC" w14:textId="77777777" w:rsidR="00D0338B" w:rsidRDefault="00DB7EA0">
            <w:pPr>
              <w:keepNext/>
              <w:jc w:val="right"/>
            </w:pPr>
            <w:r>
              <w:rPr>
                <w:rFonts w:ascii="Arial" w:eastAsia="Arial" w:hAnsi="Arial" w:cs="Arial"/>
                <w:color w:val="000000"/>
                <w:sz w:val="16"/>
              </w:rPr>
              <w:t>4,929 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323DCC2A" w14:textId="77777777" w:rsidR="00D0338B" w:rsidRDefault="00D0338B">
            <w:pPr>
              <w:keepNext/>
              <w:jc w:val="right"/>
            </w:pPr>
          </w:p>
        </w:tc>
      </w:tr>
      <w:tr w:rsidR="00D0338B" w14:paraId="72A8CE22"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0AD2D9BA"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5F77BAD"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508427"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5EA79A6"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49B8F5"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A497F2C"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A091AE"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B0179C2" w14:textId="77777777" w:rsidR="00D0338B" w:rsidRDefault="00D0338B">
            <w:pPr>
              <w:keepNext/>
            </w:pPr>
          </w:p>
        </w:tc>
      </w:tr>
      <w:tr w:rsidR="00D0338B" w14:paraId="45153574"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50F8DEB5" w14:textId="77777777" w:rsidR="00D0338B" w:rsidRDefault="00DB7EA0">
            <w:pPr>
              <w:keepNext/>
            </w:pPr>
            <w:r>
              <w:rPr>
                <w:rFonts w:ascii="Arial" w:eastAsia="Arial" w:hAnsi="Arial" w:cs="Arial"/>
                <w:b/>
                <w:color w:val="000000"/>
                <w:sz w:val="16"/>
              </w:rPr>
              <w:t>Operating Income</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76849AA5" w14:textId="77777777" w:rsidR="00D0338B" w:rsidRDefault="00DB7EA0">
            <w:pPr>
              <w:keepNext/>
              <w:jc w:val="right"/>
            </w:pPr>
            <w:r>
              <w:rPr>
                <w:rFonts w:ascii="Arial" w:eastAsia="Arial" w:hAnsi="Arial" w:cs="Arial"/>
                <w:color w:val="000000"/>
                <w:sz w:val="16"/>
              </w:rPr>
              <w:t>704 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82DA46D"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09C66E"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140E6C30" w14:textId="77777777" w:rsidR="00D0338B" w:rsidRDefault="00DB7EA0">
            <w:pPr>
              <w:keepNext/>
              <w:jc w:val="right"/>
            </w:pPr>
            <w:r>
              <w:rPr>
                <w:rFonts w:ascii="Arial" w:eastAsia="Arial" w:hAnsi="Arial" w:cs="Arial"/>
                <w:color w:val="000000"/>
                <w:sz w:val="16"/>
              </w:rPr>
              <w:t>693 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8593B71"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4A14E6"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4F1093E5" w14:textId="77777777" w:rsidR="00D0338B" w:rsidRDefault="00DB7EA0">
            <w:pPr>
              <w:keepNext/>
              <w:jc w:val="right"/>
            </w:pPr>
            <w:r>
              <w:rPr>
                <w:rFonts w:ascii="Arial" w:eastAsia="Arial" w:hAnsi="Arial" w:cs="Arial"/>
                <w:color w:val="000000"/>
                <w:sz w:val="16"/>
              </w:rPr>
              <w:t>2,803 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A0697F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00245C"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727FCA84" w14:textId="77777777" w:rsidR="00D0338B" w:rsidRDefault="00DB7EA0">
            <w:pPr>
              <w:keepNext/>
              <w:jc w:val="right"/>
            </w:pPr>
            <w:r>
              <w:rPr>
                <w:rFonts w:ascii="Arial" w:eastAsia="Arial" w:hAnsi="Arial" w:cs="Arial"/>
                <w:color w:val="000000"/>
                <w:sz w:val="16"/>
              </w:rPr>
              <w:t>2,840 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B8915C7" w14:textId="77777777" w:rsidR="00D0338B" w:rsidRDefault="00D0338B">
            <w:pPr>
              <w:keepNext/>
              <w:jc w:val="right"/>
            </w:pPr>
          </w:p>
        </w:tc>
      </w:tr>
      <w:tr w:rsidR="00D0338B" w14:paraId="0E9A7F4A"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59B08BE4"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64F3811E"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AD4D30"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4F771CDA"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9ABF1F"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76A2DFA0"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69F562"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38F79EF9" w14:textId="77777777" w:rsidR="00D0338B" w:rsidRDefault="00D0338B">
            <w:pPr>
              <w:keepNext/>
            </w:pPr>
          </w:p>
        </w:tc>
      </w:tr>
      <w:tr w:rsidR="00D0338B" w14:paraId="1E79BE39"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581202A3" w14:textId="77777777" w:rsidR="00D0338B" w:rsidRDefault="00DB7EA0">
            <w:pPr>
              <w:keepNext/>
            </w:pPr>
            <w:r>
              <w:rPr>
                <w:rFonts w:ascii="Arial" w:eastAsia="Arial" w:hAnsi="Arial" w:cs="Arial"/>
                <w:color w:val="000000"/>
                <w:sz w:val="16"/>
              </w:rPr>
              <w:t>Other Income (Expense) - net</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45FC0F5D" w14:textId="77777777" w:rsidR="00D0338B" w:rsidRDefault="00DB7EA0">
            <w:pPr>
              <w:keepNext/>
              <w:jc w:val="right"/>
            </w:pPr>
            <w:r>
              <w:rPr>
                <w:rFonts w:ascii="Arial" w:eastAsia="Arial" w:hAnsi="Arial" w:cs="Arial"/>
                <w:color w:val="000000"/>
                <w:sz w:val="16"/>
              </w:rPr>
              <w:t>(84)</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71E64F0E"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73B7FC"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1166079B" w14:textId="77777777" w:rsidR="00D0338B" w:rsidRDefault="00DB7EA0">
            <w:pPr>
              <w:keepNext/>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23E7C9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3F221A"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4B0BE01D" w14:textId="77777777" w:rsidR="00D0338B" w:rsidRDefault="00DB7EA0">
            <w:pPr>
              <w:keepNext/>
              <w:jc w:val="right"/>
            </w:pPr>
            <w:r>
              <w:rPr>
                <w:rFonts w:ascii="Arial" w:eastAsia="Arial" w:hAnsi="Arial" w:cs="Arial"/>
                <w:color w:val="000000"/>
                <w:sz w:val="16"/>
              </w:rPr>
              <w:t>169 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1A199DF"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98C89E"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33552F9D" w14:textId="77777777" w:rsidR="00D0338B" w:rsidRDefault="00DB7EA0">
            <w:pPr>
              <w:keepNext/>
              <w:jc w:val="right"/>
            </w:pPr>
            <w:r>
              <w:rPr>
                <w:rFonts w:ascii="Arial" w:eastAsia="Arial" w:hAnsi="Arial" w:cs="Arial"/>
                <w:color w:val="000000"/>
                <w:sz w:val="16"/>
              </w:rPr>
              <w:t>309 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6610682F" w14:textId="77777777" w:rsidR="00D0338B" w:rsidRDefault="00D0338B">
            <w:pPr>
              <w:keepNext/>
              <w:jc w:val="right"/>
            </w:pPr>
          </w:p>
        </w:tc>
      </w:tr>
      <w:tr w:rsidR="00D0338B" w14:paraId="71A433C4"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3F8360CE"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2E259F58"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45ECB02"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739EF5F9"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4F412D"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5F842E97"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FC4F7D"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2682592F" w14:textId="77777777" w:rsidR="00D0338B" w:rsidRDefault="00D0338B">
            <w:pPr>
              <w:keepNext/>
            </w:pPr>
          </w:p>
        </w:tc>
      </w:tr>
      <w:tr w:rsidR="00D0338B" w14:paraId="56F545F5"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4362E249" w14:textId="77777777" w:rsidR="00D0338B" w:rsidRDefault="00DB7EA0">
            <w:pPr>
              <w:keepNext/>
            </w:pPr>
            <w:r>
              <w:rPr>
                <w:rFonts w:ascii="Arial" w:eastAsia="Arial" w:hAnsi="Arial" w:cs="Arial"/>
                <w:color w:val="000000"/>
                <w:sz w:val="16"/>
              </w:rPr>
              <w:t>Interest Expense</w:t>
            </w: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438FDC91" w14:textId="77777777" w:rsidR="00D0338B" w:rsidRDefault="00DB7EA0">
            <w:pPr>
              <w:keepNext/>
              <w:jc w:val="right"/>
            </w:pPr>
            <w:r>
              <w:rPr>
                <w:rFonts w:ascii="Arial" w:eastAsia="Arial" w:hAnsi="Arial" w:cs="Arial"/>
                <w:color w:val="000000"/>
                <w:sz w:val="16"/>
              </w:rPr>
              <w:t>251 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010D7C8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6FC07A" w14:textId="77777777" w:rsidR="00D0338B" w:rsidRDefault="00D0338B">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4337FC50" w14:textId="77777777" w:rsidR="00D0338B" w:rsidRDefault="00DB7EA0">
            <w:pPr>
              <w:keepNext/>
              <w:jc w:val="right"/>
            </w:pPr>
            <w:r>
              <w:rPr>
                <w:rFonts w:ascii="Arial" w:eastAsia="Arial" w:hAnsi="Arial" w:cs="Arial"/>
                <w:color w:val="000000"/>
                <w:sz w:val="16"/>
              </w:rPr>
              <w:t>248 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55D74EF8"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FD6BFE" w14:textId="77777777" w:rsidR="00D0338B" w:rsidRDefault="00D0338B">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7824B853" w14:textId="77777777" w:rsidR="00D0338B" w:rsidRDefault="00DB7EA0">
            <w:pPr>
              <w:keepNext/>
              <w:jc w:val="right"/>
            </w:pPr>
            <w:r>
              <w:rPr>
                <w:rFonts w:ascii="Arial" w:eastAsia="Arial" w:hAnsi="Arial" w:cs="Arial"/>
                <w:color w:val="000000"/>
                <w:sz w:val="16"/>
              </w:rPr>
              <w:t>1,001 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33C04C2D"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373648" w14:textId="77777777" w:rsidR="00D0338B" w:rsidRDefault="00D0338B">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282A637D" w14:textId="77777777" w:rsidR="00D0338B" w:rsidRDefault="00DB7EA0">
            <w:pPr>
              <w:keepNext/>
              <w:jc w:val="right"/>
            </w:pPr>
            <w:r>
              <w:rPr>
                <w:rFonts w:ascii="Arial" w:eastAsia="Arial" w:hAnsi="Arial" w:cs="Arial"/>
                <w:color w:val="000000"/>
                <w:sz w:val="16"/>
              </w:rPr>
              <w:t>994 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7D378BA5" w14:textId="77777777" w:rsidR="00D0338B" w:rsidRDefault="00D0338B">
            <w:pPr>
              <w:keepNext/>
              <w:jc w:val="right"/>
            </w:pPr>
          </w:p>
        </w:tc>
      </w:tr>
      <w:tr w:rsidR="00D0338B" w14:paraId="72F7E4D5"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1A899C27"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C3836F9"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A1A7C8"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6BAE5568"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0F6800"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C158D28"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D52A79"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9CB2FDC" w14:textId="77777777" w:rsidR="00D0338B" w:rsidRDefault="00D0338B">
            <w:pPr>
              <w:keepNext/>
            </w:pPr>
          </w:p>
        </w:tc>
      </w:tr>
      <w:tr w:rsidR="00D0338B" w14:paraId="0EA4655F"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2B12BE62" w14:textId="77777777" w:rsidR="00D0338B" w:rsidRDefault="00DB7EA0">
            <w:pPr>
              <w:keepNext/>
            </w:pPr>
            <w:r>
              <w:rPr>
                <w:rFonts w:ascii="Arial" w:eastAsia="Arial" w:hAnsi="Arial" w:cs="Arial"/>
                <w:b/>
                <w:color w:val="000000"/>
                <w:sz w:val="16"/>
              </w:rPr>
              <w:t>Income Before Income Taxes</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091E8AF3" w14:textId="77777777" w:rsidR="00D0338B" w:rsidRDefault="00DB7EA0">
            <w:pPr>
              <w:keepNext/>
              <w:jc w:val="right"/>
            </w:pPr>
            <w:r>
              <w:rPr>
                <w:rFonts w:ascii="Arial" w:eastAsia="Arial" w:hAnsi="Arial" w:cs="Arial"/>
                <w:color w:val="000000"/>
                <w:sz w:val="16"/>
              </w:rPr>
              <w:t>369 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73C53B7B"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87C827"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241684B8" w14:textId="77777777" w:rsidR="00D0338B" w:rsidRDefault="00DB7EA0">
            <w:pPr>
              <w:keepNext/>
              <w:jc w:val="right"/>
            </w:pPr>
            <w:r>
              <w:rPr>
                <w:rFonts w:ascii="Arial" w:eastAsia="Arial" w:hAnsi="Arial" w:cs="Arial"/>
                <w:color w:val="000000"/>
                <w:sz w:val="16"/>
              </w:rPr>
              <w:t>445 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EEE46C3"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1D57FE"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0EC58B1C" w14:textId="77777777" w:rsidR="00D0338B" w:rsidRDefault="00DB7EA0">
            <w:pPr>
              <w:keepNext/>
              <w:jc w:val="right"/>
            </w:pPr>
            <w:r>
              <w:rPr>
                <w:rFonts w:ascii="Arial" w:eastAsia="Arial" w:hAnsi="Arial" w:cs="Arial"/>
                <w:color w:val="000000"/>
                <w:sz w:val="16"/>
              </w:rPr>
              <w:t>1,971 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B7670D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D490E6"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0AC78D64" w14:textId="77777777" w:rsidR="00D0338B" w:rsidRDefault="00DB7EA0">
            <w:pPr>
              <w:keepNext/>
              <w:jc w:val="right"/>
            </w:pPr>
            <w:r>
              <w:rPr>
                <w:rFonts w:ascii="Arial" w:eastAsia="Arial" w:hAnsi="Arial" w:cs="Arial"/>
                <w:color w:val="000000"/>
                <w:sz w:val="16"/>
              </w:rPr>
              <w:t>2,155 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2487F3E5" w14:textId="77777777" w:rsidR="00D0338B" w:rsidRDefault="00D0338B">
            <w:pPr>
              <w:keepNext/>
              <w:jc w:val="right"/>
            </w:pPr>
          </w:p>
        </w:tc>
      </w:tr>
      <w:tr w:rsidR="00D0338B" w14:paraId="005CC63E"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53D1A46F"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2C9E15A2"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B0C37D"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634871DE"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453B38"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13FDD0ED"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44D810"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6B21879F" w14:textId="77777777" w:rsidR="00D0338B" w:rsidRDefault="00D0338B">
            <w:pPr>
              <w:keepNext/>
            </w:pPr>
          </w:p>
        </w:tc>
      </w:tr>
      <w:tr w:rsidR="00D0338B" w14:paraId="0776DDFA"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022DE629" w14:textId="77777777" w:rsidR="00D0338B" w:rsidRDefault="00DB7EA0">
            <w:pPr>
              <w:keepNext/>
            </w:pPr>
            <w:r>
              <w:rPr>
                <w:rFonts w:ascii="Arial" w:eastAsia="Arial" w:hAnsi="Arial" w:cs="Arial"/>
                <w:color w:val="000000"/>
                <w:sz w:val="16"/>
              </w:rPr>
              <w:t>Income Taxes</w:t>
            </w: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35E357C3" w14:textId="77777777" w:rsidR="00D0338B" w:rsidRDefault="00DB7EA0">
            <w:pPr>
              <w:keepNext/>
              <w:jc w:val="right"/>
            </w:pPr>
            <w:r>
              <w:rPr>
                <w:rFonts w:ascii="Arial" w:eastAsia="Arial" w:hAnsi="Arial" w:cs="Arial"/>
                <w:color w:val="000000"/>
                <w:sz w:val="16"/>
              </w:rPr>
              <w:t>79 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6DAAA3C6"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59DBF0" w14:textId="77777777" w:rsidR="00D0338B" w:rsidRDefault="00D0338B">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00576D85" w14:textId="77777777" w:rsidR="00D0338B" w:rsidRDefault="00DB7EA0">
            <w:pPr>
              <w:keepNext/>
              <w:jc w:val="right"/>
            </w:pPr>
            <w:r>
              <w:rPr>
                <w:rFonts w:ascii="Arial" w:eastAsia="Arial" w:hAnsi="Arial" w:cs="Arial"/>
                <w:color w:val="000000"/>
                <w:sz w:val="16"/>
              </w:rPr>
              <w:t>81 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351126F0"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0F91B0" w14:textId="77777777" w:rsidR="00D0338B" w:rsidRDefault="00D0338B">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6655069E" w14:textId="77777777" w:rsidR="00D0338B" w:rsidRDefault="00DB7EA0">
            <w:pPr>
              <w:keepNext/>
              <w:jc w:val="right"/>
            </w:pPr>
            <w:r>
              <w:rPr>
                <w:rFonts w:ascii="Arial" w:eastAsia="Arial" w:hAnsi="Arial" w:cs="Arial"/>
                <w:color w:val="000000"/>
                <w:sz w:val="16"/>
              </w:rPr>
              <w:t>502 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66EBDB00"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3D75A8" w14:textId="77777777" w:rsidR="00D0338B" w:rsidRDefault="00D0338B">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2DD75BAA" w14:textId="77777777" w:rsidR="00D0338B" w:rsidRDefault="00DB7EA0">
            <w:pPr>
              <w:keepNext/>
              <w:jc w:val="right"/>
            </w:pPr>
            <w:r>
              <w:rPr>
                <w:rFonts w:ascii="Arial" w:eastAsia="Arial" w:hAnsi="Arial" w:cs="Arial"/>
                <w:color w:val="000000"/>
                <w:sz w:val="16"/>
              </w:rPr>
              <w:t>409 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39E453FD" w14:textId="77777777" w:rsidR="00D0338B" w:rsidRDefault="00D0338B">
            <w:pPr>
              <w:keepNext/>
              <w:jc w:val="right"/>
            </w:pPr>
          </w:p>
        </w:tc>
      </w:tr>
      <w:tr w:rsidR="00D0338B" w14:paraId="0296BB55"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762E7F82"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0DE8733"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F59BCD"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066CD15"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D66EA8"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75FD636"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A98B6A" w14:textId="77777777" w:rsidR="00D0338B" w:rsidRDefault="00D0338B">
            <w:pPr>
              <w:keepNext/>
            </w:pPr>
          </w:p>
        </w:tc>
        <w:tc>
          <w:tcPr>
            <w:tcW w:w="10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D564B62" w14:textId="77777777" w:rsidR="00D0338B" w:rsidRDefault="00D0338B">
            <w:pPr>
              <w:keepNext/>
            </w:pPr>
          </w:p>
        </w:tc>
      </w:tr>
      <w:tr w:rsidR="00D0338B" w14:paraId="0B58433B"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6B9D5F5A" w14:textId="77777777" w:rsidR="00D0338B" w:rsidRDefault="00DB7EA0">
            <w:pPr>
              <w:keepNext/>
            </w:pPr>
            <w:r>
              <w:rPr>
                <w:rFonts w:ascii="Arial" w:eastAsia="Arial" w:hAnsi="Arial" w:cs="Arial"/>
                <w:b/>
                <w:color w:val="000000"/>
                <w:sz w:val="16"/>
              </w:rPr>
              <w:t>Net Income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center"/>
          </w:tcPr>
          <w:p w14:paraId="0F5FF7BC" w14:textId="77777777" w:rsidR="00D0338B" w:rsidRDefault="00DB7EA0">
            <w:pPr>
              <w:keepNext/>
            </w:pPr>
            <w:r>
              <w:rPr>
                <w:rFonts w:ascii="Arial" w:eastAsia="Arial" w:hAnsi="Arial" w:cs="Arial"/>
                <w:color w:val="000000"/>
                <w:sz w:val="16"/>
              </w:rPr>
              <w:t>$</w:t>
            </w:r>
          </w:p>
        </w:tc>
        <w:tc>
          <w:tcPr>
            <w:tcW w:w="835" w:type="dxa"/>
            <w:tcBorders>
              <w:top w:val="nil"/>
              <w:left w:val="nil"/>
              <w:bottom w:val="double" w:sz="8" w:space="0" w:color="000000"/>
              <w:right w:val="nil"/>
            </w:tcBorders>
            <w:shd w:val="clear" w:color="auto" w:fill="FFFFFF"/>
            <w:tcMar>
              <w:top w:w="0" w:type="dxa"/>
              <w:left w:w="0" w:type="dxa"/>
              <w:bottom w:w="0" w:type="dxa"/>
              <w:right w:w="0" w:type="dxa"/>
            </w:tcMar>
            <w:vAlign w:val="center"/>
          </w:tcPr>
          <w:p w14:paraId="6FAFB166" w14:textId="77777777" w:rsidR="00D0338B" w:rsidRDefault="00DB7EA0">
            <w:pPr>
              <w:keepNext/>
              <w:jc w:val="right"/>
            </w:pPr>
            <w:r>
              <w:rPr>
                <w:rFonts w:ascii="Arial" w:eastAsia="Arial" w:hAnsi="Arial" w:cs="Arial"/>
                <w:color w:val="000000"/>
                <w:sz w:val="16"/>
              </w:rPr>
              <w:t>290 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center"/>
          </w:tcPr>
          <w:p w14:paraId="4235888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C42B51" w14:textId="77777777" w:rsidR="00D0338B" w:rsidRDefault="00D0338B">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center"/>
          </w:tcPr>
          <w:p w14:paraId="72BE8EB3" w14:textId="77777777" w:rsidR="00D0338B" w:rsidRDefault="00DB7EA0">
            <w:pPr>
              <w:keepNext/>
            </w:pPr>
            <w:r>
              <w:rPr>
                <w:rFonts w:ascii="Arial" w:eastAsia="Arial" w:hAnsi="Arial" w:cs="Arial"/>
                <w:color w:val="000000"/>
                <w:sz w:val="16"/>
              </w:rPr>
              <w:t>$</w:t>
            </w:r>
          </w:p>
        </w:tc>
        <w:tc>
          <w:tcPr>
            <w:tcW w:w="835" w:type="dxa"/>
            <w:tcBorders>
              <w:top w:val="nil"/>
              <w:left w:val="nil"/>
              <w:bottom w:val="double" w:sz="8" w:space="0" w:color="000000"/>
              <w:right w:val="nil"/>
            </w:tcBorders>
            <w:shd w:val="clear" w:color="auto" w:fill="FFFFFF"/>
            <w:tcMar>
              <w:top w:w="0" w:type="dxa"/>
              <w:left w:w="0" w:type="dxa"/>
              <w:bottom w:w="0" w:type="dxa"/>
              <w:right w:w="0" w:type="dxa"/>
            </w:tcMar>
            <w:vAlign w:val="center"/>
          </w:tcPr>
          <w:p w14:paraId="137565C9" w14:textId="77777777" w:rsidR="00D0338B" w:rsidRDefault="00DB7EA0">
            <w:pPr>
              <w:keepNext/>
              <w:jc w:val="right"/>
            </w:pPr>
            <w:r>
              <w:rPr>
                <w:rFonts w:ascii="Arial" w:eastAsia="Arial" w:hAnsi="Arial" w:cs="Arial"/>
                <w:color w:val="000000"/>
                <w:sz w:val="16"/>
              </w:rPr>
              <w:t>364 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center"/>
          </w:tcPr>
          <w:p w14:paraId="19CE9422"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15941A" w14:textId="77777777" w:rsidR="00D0338B" w:rsidRDefault="00D0338B">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center"/>
          </w:tcPr>
          <w:p w14:paraId="47DF6251" w14:textId="77777777" w:rsidR="00D0338B" w:rsidRDefault="00DB7EA0">
            <w:pPr>
              <w:keepNext/>
            </w:pPr>
            <w:r>
              <w:rPr>
                <w:rFonts w:ascii="Arial" w:eastAsia="Arial" w:hAnsi="Arial" w:cs="Arial"/>
                <w:color w:val="000000"/>
                <w:sz w:val="16"/>
              </w:rPr>
              <w:t>$</w:t>
            </w:r>
          </w:p>
        </w:tc>
        <w:tc>
          <w:tcPr>
            <w:tcW w:w="835" w:type="dxa"/>
            <w:tcBorders>
              <w:top w:val="nil"/>
              <w:left w:val="nil"/>
              <w:bottom w:val="double" w:sz="8" w:space="0" w:color="000000"/>
              <w:right w:val="nil"/>
            </w:tcBorders>
            <w:shd w:val="clear" w:color="auto" w:fill="FFFFFF"/>
            <w:tcMar>
              <w:top w:w="0" w:type="dxa"/>
              <w:left w:w="0" w:type="dxa"/>
              <w:bottom w:w="0" w:type="dxa"/>
              <w:right w:w="0" w:type="dxa"/>
            </w:tcMar>
            <w:vAlign w:val="center"/>
          </w:tcPr>
          <w:p w14:paraId="5FCB9218" w14:textId="77777777" w:rsidR="00D0338B" w:rsidRDefault="00DB7EA0">
            <w:pPr>
              <w:keepNext/>
              <w:jc w:val="right"/>
            </w:pPr>
            <w:r>
              <w:rPr>
                <w:rFonts w:ascii="Arial" w:eastAsia="Arial" w:hAnsi="Arial" w:cs="Arial"/>
                <w:color w:val="000000"/>
                <w:sz w:val="16"/>
              </w:rPr>
              <w:t>1,469 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center"/>
          </w:tcPr>
          <w:p w14:paraId="1FB0864D"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1CFACF" w14:textId="77777777" w:rsidR="00D0338B" w:rsidRDefault="00D0338B">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center"/>
          </w:tcPr>
          <w:p w14:paraId="3CCEB1F0" w14:textId="77777777" w:rsidR="00D0338B" w:rsidRDefault="00DB7EA0">
            <w:pPr>
              <w:keepNext/>
            </w:pPr>
            <w:r>
              <w:rPr>
                <w:rFonts w:ascii="Arial" w:eastAsia="Arial" w:hAnsi="Arial" w:cs="Arial"/>
                <w:color w:val="000000"/>
                <w:sz w:val="16"/>
              </w:rPr>
              <w:t>$</w:t>
            </w:r>
          </w:p>
        </w:tc>
        <w:tc>
          <w:tcPr>
            <w:tcW w:w="835" w:type="dxa"/>
            <w:tcBorders>
              <w:top w:val="nil"/>
              <w:left w:val="nil"/>
              <w:bottom w:val="double" w:sz="8" w:space="0" w:color="000000"/>
              <w:right w:val="nil"/>
            </w:tcBorders>
            <w:shd w:val="clear" w:color="auto" w:fill="FFFFFF"/>
            <w:tcMar>
              <w:top w:w="0" w:type="dxa"/>
              <w:left w:w="0" w:type="dxa"/>
              <w:bottom w:w="0" w:type="dxa"/>
              <w:right w:w="0" w:type="dxa"/>
            </w:tcMar>
            <w:vAlign w:val="center"/>
          </w:tcPr>
          <w:p w14:paraId="608D1CC0" w14:textId="77777777" w:rsidR="00D0338B" w:rsidRDefault="00DB7EA0">
            <w:pPr>
              <w:keepNext/>
              <w:jc w:val="right"/>
            </w:pPr>
            <w:r>
              <w:rPr>
                <w:rFonts w:ascii="Arial" w:eastAsia="Arial" w:hAnsi="Arial" w:cs="Arial"/>
                <w:color w:val="000000"/>
                <w:sz w:val="16"/>
              </w:rPr>
              <w:t>1,746 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center"/>
          </w:tcPr>
          <w:p w14:paraId="2094E66A" w14:textId="77777777" w:rsidR="00D0338B" w:rsidRDefault="00D0338B">
            <w:pPr>
              <w:keepNext/>
              <w:jc w:val="right"/>
            </w:pPr>
          </w:p>
        </w:tc>
      </w:tr>
      <w:tr w:rsidR="00D0338B" w14:paraId="77EE6CBF" w14:textId="77777777">
        <w:trPr>
          <w:cantSplit/>
          <w:trHeight w:hRule="exact" w:val="180"/>
          <w:jc w:val="center"/>
        </w:trPr>
        <w:tc>
          <w:tcPr>
            <w:tcW w:w="5715" w:type="dxa"/>
            <w:tcBorders>
              <w:top w:val="nil"/>
              <w:left w:val="nil"/>
              <w:bottom w:val="nil"/>
              <w:right w:val="nil"/>
            </w:tcBorders>
            <w:shd w:val="clear" w:color="auto" w:fill="CCEEFF"/>
            <w:tcMar>
              <w:top w:w="0" w:type="dxa"/>
              <w:left w:w="0" w:type="dxa"/>
              <w:bottom w:w="0" w:type="dxa"/>
              <w:right w:w="0" w:type="dxa"/>
            </w:tcMar>
            <w:vAlign w:val="bottom"/>
          </w:tcPr>
          <w:p w14:paraId="5417F64A" w14:textId="77777777" w:rsidR="00D0338B" w:rsidRDefault="00D0338B">
            <w:pPr>
              <w:keepNext/>
            </w:pPr>
          </w:p>
        </w:tc>
        <w:tc>
          <w:tcPr>
            <w:tcW w:w="10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36505624"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057413" w14:textId="77777777" w:rsidR="00D0338B" w:rsidRDefault="00D0338B">
            <w:pPr>
              <w:keepNext/>
            </w:pPr>
          </w:p>
        </w:tc>
        <w:tc>
          <w:tcPr>
            <w:tcW w:w="10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342E44E"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3D5149" w14:textId="77777777" w:rsidR="00D0338B" w:rsidRDefault="00D0338B">
            <w:pPr>
              <w:keepNext/>
            </w:pPr>
          </w:p>
        </w:tc>
        <w:tc>
          <w:tcPr>
            <w:tcW w:w="10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63644C43"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CE922A" w14:textId="77777777" w:rsidR="00D0338B" w:rsidRDefault="00D0338B">
            <w:pPr>
              <w:keepNext/>
            </w:pPr>
          </w:p>
        </w:tc>
        <w:tc>
          <w:tcPr>
            <w:tcW w:w="10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24CA1759" w14:textId="77777777" w:rsidR="00D0338B" w:rsidRDefault="00D0338B">
            <w:pPr>
              <w:keepNext/>
            </w:pPr>
          </w:p>
        </w:tc>
      </w:tr>
      <w:tr w:rsidR="00D0338B" w14:paraId="3A54A608"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10CEDD2A" w14:textId="77777777" w:rsidR="00D0338B" w:rsidRDefault="00DB7EA0">
            <w:pPr>
              <w:keepNext/>
            </w:pPr>
            <w:r>
              <w:rPr>
                <w:rFonts w:ascii="Arial" w:eastAsia="Arial" w:hAnsi="Arial" w:cs="Arial"/>
                <w:b/>
                <w:color w:val="000000"/>
                <w:sz w:val="16"/>
              </w:rPr>
              <w:t>Earnings Per Share of Common Stock:</w:t>
            </w: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6B075ECF"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CD2124"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1C7D11F6"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26C078"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3AB2749D"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308DA3"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40B6A7EA" w14:textId="77777777" w:rsidR="00D0338B" w:rsidRDefault="00D0338B">
            <w:pPr>
              <w:keepNext/>
            </w:pPr>
          </w:p>
        </w:tc>
      </w:tr>
      <w:tr w:rsidR="00D0338B" w14:paraId="47EBDE52"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5C725B91" w14:textId="77777777" w:rsidR="00D0338B" w:rsidRDefault="00DB7EA0">
            <w:pPr>
              <w:keepNext/>
              <w:ind w:left="135"/>
            </w:pPr>
            <w:r>
              <w:rPr>
                <w:rFonts w:ascii="Arial" w:eastAsia="Arial" w:hAnsi="Arial" w:cs="Arial"/>
                <w:color w:val="000000"/>
                <w:sz w:val="16"/>
              </w:rPr>
              <w:t>Net Income Available to PPL Common Shareowners:</w:t>
            </w:r>
          </w:p>
        </w:tc>
        <w:tc>
          <w:tcPr>
            <w:tcW w:w="1095" w:type="dxa"/>
            <w:gridSpan w:val="3"/>
            <w:tcBorders>
              <w:top w:val="nil"/>
              <w:left w:val="nil"/>
              <w:bottom w:val="nil"/>
              <w:right w:val="nil"/>
            </w:tcBorders>
            <w:shd w:val="clear" w:color="auto" w:fill="CCEEFF"/>
            <w:tcMar>
              <w:top w:w="0" w:type="dxa"/>
              <w:left w:w="53" w:type="dxa"/>
              <w:bottom w:w="0" w:type="dxa"/>
              <w:right w:w="15" w:type="dxa"/>
            </w:tcMar>
            <w:vAlign w:val="center"/>
          </w:tcPr>
          <w:p w14:paraId="2A2FC1A3" w14:textId="77777777" w:rsidR="00D0338B" w:rsidRDefault="00DB7EA0">
            <w:pPr>
              <w:keepNext/>
              <w:jc w:val="right"/>
            </w:pPr>
            <w:r>
              <w:rPr>
                <w:rFonts w:ascii="Arial" w:eastAsia="Arial" w:hAnsi="Arial" w:cs="Arial"/>
                <w:color w:val="000000"/>
                <w:sz w:val="16"/>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245CA4"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53" w:type="dxa"/>
              <w:bottom w:w="0" w:type="dxa"/>
              <w:right w:w="15" w:type="dxa"/>
            </w:tcMar>
            <w:vAlign w:val="center"/>
          </w:tcPr>
          <w:p w14:paraId="5F02AB8F" w14:textId="77777777" w:rsidR="00D0338B" w:rsidRDefault="00DB7EA0">
            <w:pPr>
              <w:keepNext/>
              <w:jc w:val="right"/>
            </w:pPr>
            <w:r>
              <w:rPr>
                <w:rFonts w:ascii="Arial" w:eastAsia="Arial" w:hAnsi="Arial" w:cs="Arial"/>
                <w:color w:val="000000"/>
                <w:sz w:val="16"/>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7C7EB2"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37151BCD"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D85699"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697EFE3A" w14:textId="77777777" w:rsidR="00D0338B" w:rsidRDefault="00D0338B">
            <w:pPr>
              <w:keepNext/>
            </w:pPr>
          </w:p>
        </w:tc>
      </w:tr>
      <w:tr w:rsidR="00D0338B" w14:paraId="66D51A4D"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3EBCD52B" w14:textId="77777777" w:rsidR="00D0338B" w:rsidRDefault="00DB7EA0">
            <w:pPr>
              <w:keepNext/>
              <w:ind w:left="225"/>
            </w:pPr>
            <w:r>
              <w:rPr>
                <w:rFonts w:ascii="Arial" w:eastAsia="Arial" w:hAnsi="Arial" w:cs="Arial"/>
                <w:color w:val="000000"/>
                <w:sz w:val="16"/>
              </w:rPr>
              <w:t>Basic</w:t>
            </w:r>
          </w:p>
        </w:tc>
        <w:tc>
          <w:tcPr>
            <w:tcW w:w="160" w:type="dxa"/>
            <w:tcBorders>
              <w:top w:val="nil"/>
              <w:left w:val="nil"/>
              <w:bottom w:val="nil"/>
              <w:right w:val="nil"/>
            </w:tcBorders>
            <w:shd w:val="clear" w:color="auto" w:fill="FFFFFF"/>
            <w:tcMar>
              <w:top w:w="0" w:type="dxa"/>
              <w:left w:w="53" w:type="dxa"/>
              <w:bottom w:w="0" w:type="dxa"/>
              <w:right w:w="0" w:type="dxa"/>
            </w:tcMar>
            <w:vAlign w:val="center"/>
          </w:tcPr>
          <w:p w14:paraId="6D4AA33E"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FFFFFF"/>
            <w:tcMar>
              <w:top w:w="0" w:type="dxa"/>
              <w:left w:w="0" w:type="dxa"/>
              <w:bottom w:w="0" w:type="dxa"/>
              <w:right w:w="0" w:type="dxa"/>
            </w:tcMar>
            <w:vAlign w:val="center"/>
          </w:tcPr>
          <w:p w14:paraId="63656C72" w14:textId="77777777" w:rsidR="00D0338B" w:rsidRDefault="00DB7EA0">
            <w:pPr>
              <w:keepNext/>
              <w:jc w:val="right"/>
            </w:pPr>
            <w:r>
              <w:rPr>
                <w:rFonts w:ascii="Arial" w:eastAsia="Arial" w:hAnsi="Arial" w:cs="Arial"/>
                <w:color w:val="000000"/>
                <w:sz w:val="16"/>
              </w:rPr>
              <w:t>0.38 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4FE330C"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F920D5" w14:textId="77777777" w:rsidR="00D0338B" w:rsidRDefault="00D0338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14:paraId="7E6D8489"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FFFFFF"/>
            <w:tcMar>
              <w:top w:w="0" w:type="dxa"/>
              <w:left w:w="0" w:type="dxa"/>
              <w:bottom w:w="0" w:type="dxa"/>
              <w:right w:w="0" w:type="dxa"/>
            </w:tcMar>
            <w:vAlign w:val="center"/>
          </w:tcPr>
          <w:p w14:paraId="4A8270F5" w14:textId="77777777" w:rsidR="00D0338B" w:rsidRDefault="00DB7EA0">
            <w:pPr>
              <w:keepNext/>
              <w:jc w:val="right"/>
            </w:pPr>
            <w:r>
              <w:rPr>
                <w:rFonts w:ascii="Arial" w:eastAsia="Arial" w:hAnsi="Arial" w:cs="Arial"/>
                <w:color w:val="000000"/>
                <w:sz w:val="16"/>
              </w:rPr>
              <w:t>0.49 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09344425"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26EA74" w14:textId="77777777" w:rsidR="00D0338B" w:rsidRDefault="00D0338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14:paraId="30FD21A8"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FFFFFF"/>
            <w:tcMar>
              <w:top w:w="0" w:type="dxa"/>
              <w:left w:w="0" w:type="dxa"/>
              <w:bottom w:w="0" w:type="dxa"/>
              <w:right w:w="0" w:type="dxa"/>
            </w:tcMar>
            <w:vAlign w:val="center"/>
          </w:tcPr>
          <w:p w14:paraId="7A0108BD" w14:textId="77777777" w:rsidR="00D0338B" w:rsidRDefault="00DB7EA0">
            <w:pPr>
              <w:keepNext/>
              <w:jc w:val="right"/>
            </w:pPr>
            <w:r>
              <w:rPr>
                <w:rFonts w:ascii="Arial" w:eastAsia="Arial" w:hAnsi="Arial" w:cs="Arial"/>
                <w:color w:val="000000"/>
                <w:sz w:val="16"/>
              </w:rPr>
              <w:t>1.91 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4B92B48"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BE1CEF" w14:textId="77777777" w:rsidR="00D0338B" w:rsidRDefault="00D0338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14:paraId="7E68C401"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FFFFFF"/>
            <w:tcMar>
              <w:top w:w="0" w:type="dxa"/>
              <w:left w:w="0" w:type="dxa"/>
              <w:bottom w:w="0" w:type="dxa"/>
              <w:right w:w="0" w:type="dxa"/>
            </w:tcMar>
            <w:vAlign w:val="center"/>
          </w:tcPr>
          <w:p w14:paraId="143449A3" w14:textId="77777777" w:rsidR="00D0338B" w:rsidRDefault="00DB7EA0">
            <w:pPr>
              <w:keepNext/>
              <w:jc w:val="right"/>
            </w:pPr>
            <w:r>
              <w:rPr>
                <w:rFonts w:ascii="Arial" w:eastAsia="Arial" w:hAnsi="Arial" w:cs="Arial"/>
                <w:color w:val="000000"/>
                <w:sz w:val="16"/>
              </w:rPr>
              <w:t>2.39 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4F99BA7" w14:textId="77777777" w:rsidR="00D0338B" w:rsidRDefault="00D0338B">
            <w:pPr>
              <w:keepNext/>
              <w:jc w:val="right"/>
            </w:pPr>
          </w:p>
        </w:tc>
      </w:tr>
      <w:tr w:rsidR="00D0338B" w14:paraId="41131022"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185EE480" w14:textId="77777777" w:rsidR="00D0338B" w:rsidRDefault="00DB7EA0">
            <w:pPr>
              <w:keepNext/>
              <w:ind w:left="225"/>
            </w:pPr>
            <w:r>
              <w:rPr>
                <w:rFonts w:ascii="Arial" w:eastAsia="Arial" w:hAnsi="Arial" w:cs="Arial"/>
                <w:color w:val="000000"/>
                <w:sz w:val="16"/>
              </w:rPr>
              <w:t>Diluted</w:t>
            </w: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0B70C4E4"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CCEEFF"/>
            <w:tcMar>
              <w:top w:w="0" w:type="dxa"/>
              <w:left w:w="0" w:type="dxa"/>
              <w:bottom w:w="0" w:type="dxa"/>
              <w:right w:w="0" w:type="dxa"/>
            </w:tcMar>
            <w:vAlign w:val="center"/>
          </w:tcPr>
          <w:p w14:paraId="003E0FC3" w14:textId="77777777" w:rsidR="00D0338B" w:rsidRDefault="00DB7EA0">
            <w:pPr>
              <w:keepNext/>
              <w:jc w:val="right"/>
            </w:pPr>
            <w:r>
              <w:rPr>
                <w:rFonts w:ascii="Arial" w:eastAsia="Arial" w:hAnsi="Arial" w:cs="Arial"/>
                <w:color w:val="000000"/>
                <w:sz w:val="16"/>
              </w:rPr>
              <w:t>0.38 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7EF5067"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EC71D5"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23D7EE9E"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CCEEFF"/>
            <w:tcMar>
              <w:top w:w="0" w:type="dxa"/>
              <w:left w:w="0" w:type="dxa"/>
              <w:bottom w:w="0" w:type="dxa"/>
              <w:right w:w="0" w:type="dxa"/>
            </w:tcMar>
            <w:vAlign w:val="center"/>
          </w:tcPr>
          <w:p w14:paraId="2DE9EF01" w14:textId="77777777" w:rsidR="00D0338B" w:rsidRDefault="00DB7EA0">
            <w:pPr>
              <w:keepNext/>
              <w:jc w:val="right"/>
            </w:pPr>
            <w:r>
              <w:rPr>
                <w:rFonts w:ascii="Arial" w:eastAsia="Arial" w:hAnsi="Arial" w:cs="Arial"/>
                <w:color w:val="000000"/>
                <w:sz w:val="16"/>
              </w:rPr>
              <w:t>0.48 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0282B768"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C2D38A"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2C3A4F45"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CCEEFF"/>
            <w:tcMar>
              <w:top w:w="0" w:type="dxa"/>
              <w:left w:w="0" w:type="dxa"/>
              <w:bottom w:w="0" w:type="dxa"/>
              <w:right w:w="0" w:type="dxa"/>
            </w:tcMar>
            <w:vAlign w:val="center"/>
          </w:tcPr>
          <w:p w14:paraId="53FFD777" w14:textId="77777777" w:rsidR="00D0338B" w:rsidRDefault="00DB7EA0">
            <w:pPr>
              <w:keepNext/>
              <w:jc w:val="right"/>
            </w:pPr>
            <w:r>
              <w:rPr>
                <w:rFonts w:ascii="Arial" w:eastAsia="Arial" w:hAnsi="Arial" w:cs="Arial"/>
                <w:color w:val="000000"/>
                <w:sz w:val="16"/>
              </w:rPr>
              <w:t>1.91 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18F9E26D" w14:textId="77777777" w:rsidR="00D0338B" w:rsidRDefault="00D0338B">
            <w:pPr>
              <w:keepNext/>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701C2E"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14:paraId="78F5ED78" w14:textId="77777777" w:rsidR="00D0338B" w:rsidRDefault="00DB7EA0">
            <w:pPr>
              <w:keepNext/>
            </w:pPr>
            <w:r>
              <w:rPr>
                <w:rFonts w:ascii="Arial" w:eastAsia="Arial" w:hAnsi="Arial" w:cs="Arial"/>
                <w:color w:val="000000"/>
                <w:sz w:val="16"/>
              </w:rPr>
              <w:t>$</w:t>
            </w:r>
          </w:p>
        </w:tc>
        <w:tc>
          <w:tcPr>
            <w:tcW w:w="835" w:type="dxa"/>
            <w:tcBorders>
              <w:top w:val="nil"/>
              <w:left w:val="nil"/>
              <w:bottom w:val="nil"/>
              <w:right w:val="nil"/>
            </w:tcBorders>
            <w:shd w:val="clear" w:color="auto" w:fill="CCEEFF"/>
            <w:tcMar>
              <w:top w:w="0" w:type="dxa"/>
              <w:left w:w="0" w:type="dxa"/>
              <w:bottom w:w="0" w:type="dxa"/>
              <w:right w:w="0" w:type="dxa"/>
            </w:tcMar>
            <w:vAlign w:val="center"/>
          </w:tcPr>
          <w:p w14:paraId="0DA40FDB" w14:textId="77777777" w:rsidR="00D0338B" w:rsidRDefault="00DB7EA0">
            <w:pPr>
              <w:keepNext/>
              <w:jc w:val="right"/>
            </w:pPr>
            <w:r>
              <w:rPr>
                <w:rFonts w:ascii="Arial" w:eastAsia="Arial" w:hAnsi="Arial" w:cs="Arial"/>
                <w:color w:val="000000"/>
                <w:sz w:val="16"/>
              </w:rPr>
              <w:t>2.37 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6A00F064" w14:textId="77777777" w:rsidR="00D0338B" w:rsidRDefault="00D0338B">
            <w:pPr>
              <w:keepNext/>
              <w:jc w:val="right"/>
            </w:pPr>
          </w:p>
        </w:tc>
      </w:tr>
      <w:tr w:rsidR="00D0338B" w14:paraId="585C1AE6" w14:textId="77777777">
        <w:trPr>
          <w:cantSplit/>
          <w:trHeight w:hRule="exact" w:val="180"/>
          <w:jc w:val="center"/>
        </w:trPr>
        <w:tc>
          <w:tcPr>
            <w:tcW w:w="5715" w:type="dxa"/>
            <w:tcBorders>
              <w:top w:val="nil"/>
              <w:left w:val="nil"/>
              <w:bottom w:val="nil"/>
              <w:right w:val="nil"/>
            </w:tcBorders>
            <w:shd w:val="clear" w:color="auto" w:fill="FFFFFF"/>
            <w:tcMar>
              <w:top w:w="0" w:type="dxa"/>
              <w:left w:w="0" w:type="dxa"/>
              <w:bottom w:w="0" w:type="dxa"/>
              <w:right w:w="0" w:type="dxa"/>
            </w:tcMar>
            <w:vAlign w:val="bottom"/>
          </w:tcPr>
          <w:p w14:paraId="135EC018"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34FC2718"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749D68"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3CC788E1"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DB015F"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65D066FC"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0BCAB6" w14:textId="77777777" w:rsidR="00D0338B" w:rsidRDefault="00D0338B">
            <w:pPr>
              <w:keepNext/>
            </w:pPr>
          </w:p>
        </w:tc>
        <w:tc>
          <w:tcPr>
            <w:tcW w:w="1095" w:type="dxa"/>
            <w:gridSpan w:val="3"/>
            <w:tcBorders>
              <w:top w:val="nil"/>
              <w:left w:val="nil"/>
              <w:bottom w:val="nil"/>
              <w:right w:val="nil"/>
            </w:tcBorders>
            <w:shd w:val="clear" w:color="auto" w:fill="FFFFFF"/>
            <w:tcMar>
              <w:top w:w="0" w:type="dxa"/>
              <w:left w:w="0" w:type="dxa"/>
              <w:bottom w:w="0" w:type="dxa"/>
              <w:right w:w="0" w:type="dxa"/>
            </w:tcMar>
            <w:vAlign w:val="bottom"/>
          </w:tcPr>
          <w:p w14:paraId="6A6C5094" w14:textId="77777777" w:rsidR="00D0338B" w:rsidRDefault="00D0338B">
            <w:pPr>
              <w:keepNext/>
            </w:pPr>
          </w:p>
        </w:tc>
      </w:tr>
      <w:tr w:rsidR="00D0338B" w14:paraId="65CA0847"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6080E14A" w14:textId="77777777" w:rsidR="00D0338B" w:rsidRDefault="00DB7EA0">
            <w:pPr>
              <w:keepNext/>
            </w:pPr>
            <w:r>
              <w:rPr>
                <w:rFonts w:ascii="Arial" w:eastAsia="Arial" w:hAnsi="Arial" w:cs="Arial"/>
                <w:b/>
                <w:color w:val="000000"/>
                <w:sz w:val="16"/>
              </w:rPr>
              <w:t>Weighted-Average Shares of Common Stock Outstanding (in thousands):</w:t>
            </w: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4B4FB7C3"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49928C"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3D87F57A"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E12363"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0F174D2F"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F8AABE" w14:textId="77777777" w:rsidR="00D0338B" w:rsidRDefault="00D0338B">
            <w:pPr>
              <w:keepNext/>
            </w:pPr>
          </w:p>
        </w:tc>
        <w:tc>
          <w:tcPr>
            <w:tcW w:w="1095" w:type="dxa"/>
            <w:gridSpan w:val="3"/>
            <w:tcBorders>
              <w:top w:val="nil"/>
              <w:left w:val="nil"/>
              <w:bottom w:val="nil"/>
              <w:right w:val="nil"/>
            </w:tcBorders>
            <w:shd w:val="clear" w:color="auto" w:fill="CCEEFF"/>
            <w:tcMar>
              <w:top w:w="0" w:type="dxa"/>
              <w:left w:w="0" w:type="dxa"/>
              <w:bottom w:w="0" w:type="dxa"/>
              <w:right w:w="0" w:type="dxa"/>
            </w:tcMar>
            <w:vAlign w:val="bottom"/>
          </w:tcPr>
          <w:p w14:paraId="5DBAE402" w14:textId="77777777" w:rsidR="00D0338B" w:rsidRDefault="00D0338B">
            <w:pPr>
              <w:keepNext/>
            </w:pPr>
          </w:p>
        </w:tc>
      </w:tr>
      <w:tr w:rsidR="00D0338B" w14:paraId="4CD1582B" w14:textId="77777777">
        <w:trPr>
          <w:cantSplit/>
          <w:trHeight w:hRule="exact" w:val="255"/>
          <w:jc w:val="center"/>
        </w:trPr>
        <w:tc>
          <w:tcPr>
            <w:tcW w:w="5715" w:type="dxa"/>
            <w:tcBorders>
              <w:top w:val="nil"/>
              <w:left w:val="nil"/>
              <w:bottom w:val="nil"/>
              <w:right w:val="nil"/>
            </w:tcBorders>
            <w:shd w:val="clear" w:color="auto" w:fill="FFFFFF"/>
            <w:tcMar>
              <w:top w:w="0" w:type="dxa"/>
              <w:left w:w="53" w:type="dxa"/>
              <w:bottom w:w="0" w:type="dxa"/>
              <w:right w:w="53" w:type="dxa"/>
            </w:tcMar>
            <w:vAlign w:val="center"/>
          </w:tcPr>
          <w:p w14:paraId="12AC66AF" w14:textId="77777777" w:rsidR="00D0338B" w:rsidRDefault="00DB7EA0">
            <w:pPr>
              <w:keepNext/>
              <w:ind w:left="225"/>
            </w:pPr>
            <w:r>
              <w:rPr>
                <w:rFonts w:ascii="Arial" w:eastAsia="Arial" w:hAnsi="Arial" w:cs="Arial"/>
                <w:color w:val="000000"/>
                <w:sz w:val="16"/>
              </w:rPr>
              <w:t>Basic</w:t>
            </w: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7AEC07B6" w14:textId="77777777" w:rsidR="00D0338B" w:rsidRDefault="00DB7EA0">
            <w:pPr>
              <w:keepNext/>
              <w:jc w:val="right"/>
            </w:pPr>
            <w:r>
              <w:rPr>
                <w:rFonts w:ascii="Arial" w:eastAsia="Arial" w:hAnsi="Arial" w:cs="Arial"/>
                <w:color w:val="000000"/>
                <w:sz w:val="16"/>
              </w:rPr>
              <w:t>768,852 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4BF0BD8A"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A42AAD"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4E061CFE" w14:textId="77777777" w:rsidR="00D0338B" w:rsidRDefault="00DB7EA0">
            <w:pPr>
              <w:keepNext/>
              <w:jc w:val="right"/>
            </w:pPr>
            <w:r>
              <w:rPr>
                <w:rFonts w:ascii="Arial" w:eastAsia="Arial" w:hAnsi="Arial" w:cs="Arial"/>
                <w:color w:val="000000"/>
                <w:sz w:val="16"/>
              </w:rPr>
              <w:t>748,745 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5B9316B6"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DB272C"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567AA1C5" w14:textId="77777777" w:rsidR="00D0338B" w:rsidRDefault="00DB7EA0">
            <w:pPr>
              <w:keepNext/>
              <w:jc w:val="right"/>
            </w:pPr>
            <w:r>
              <w:rPr>
                <w:rFonts w:ascii="Arial" w:eastAsia="Arial" w:hAnsi="Arial" w:cs="Arial"/>
                <w:color w:val="000000"/>
                <w:sz w:val="16"/>
              </w:rPr>
              <w:t>768,590 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399CD3CA" w14:textId="77777777" w:rsidR="00D0338B" w:rsidRDefault="00D0338B">
            <w:pPr>
              <w:keepNext/>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75C253" w14:textId="77777777" w:rsidR="00D0338B" w:rsidRDefault="00D0338B">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center"/>
          </w:tcPr>
          <w:p w14:paraId="50ACD11A" w14:textId="77777777" w:rsidR="00D0338B" w:rsidRDefault="00DB7EA0">
            <w:pPr>
              <w:keepNext/>
              <w:jc w:val="right"/>
            </w:pPr>
            <w:r>
              <w:rPr>
                <w:rFonts w:ascii="Arial" w:eastAsia="Arial" w:hAnsi="Arial" w:cs="Arial"/>
                <w:color w:val="000000"/>
                <w:sz w:val="16"/>
              </w:rPr>
              <w:t>728,512 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14:paraId="10DEC251" w14:textId="77777777" w:rsidR="00D0338B" w:rsidRDefault="00D0338B">
            <w:pPr>
              <w:keepNext/>
              <w:jc w:val="right"/>
            </w:pPr>
          </w:p>
        </w:tc>
      </w:tr>
      <w:tr w:rsidR="00D0338B" w14:paraId="78FBF003" w14:textId="77777777">
        <w:trPr>
          <w:cantSplit/>
          <w:trHeight w:hRule="exact" w:val="255"/>
          <w:jc w:val="center"/>
        </w:trPr>
        <w:tc>
          <w:tcPr>
            <w:tcW w:w="5715" w:type="dxa"/>
            <w:tcBorders>
              <w:top w:val="nil"/>
              <w:left w:val="nil"/>
              <w:bottom w:val="nil"/>
              <w:right w:val="nil"/>
            </w:tcBorders>
            <w:shd w:val="clear" w:color="auto" w:fill="CCEEFF"/>
            <w:tcMar>
              <w:top w:w="0" w:type="dxa"/>
              <w:left w:w="53" w:type="dxa"/>
              <w:bottom w:w="0" w:type="dxa"/>
              <w:right w:w="53" w:type="dxa"/>
            </w:tcMar>
            <w:vAlign w:val="center"/>
          </w:tcPr>
          <w:p w14:paraId="1630530C" w14:textId="77777777" w:rsidR="00D0338B" w:rsidRDefault="00DB7EA0">
            <w:pPr>
              <w:ind w:left="225"/>
            </w:pPr>
            <w:r>
              <w:rPr>
                <w:rFonts w:ascii="Arial" w:eastAsia="Arial" w:hAnsi="Arial" w:cs="Arial"/>
                <w:color w:val="000000"/>
                <w:sz w:val="16"/>
              </w:rPr>
              <w:t>Diluted</w:t>
            </w:r>
          </w:p>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56EEBCA3" w14:textId="77777777" w:rsidR="00D0338B" w:rsidRDefault="00DB7EA0">
            <w:pPr>
              <w:jc w:val="right"/>
            </w:pPr>
            <w:r>
              <w:rPr>
                <w:rFonts w:ascii="Arial" w:eastAsia="Arial" w:hAnsi="Arial" w:cs="Arial"/>
                <w:color w:val="000000"/>
                <w:sz w:val="16"/>
              </w:rPr>
              <w:t>769,725 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1FC7ABC8"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15E714" w14:textId="77777777" w:rsidR="00D0338B" w:rsidRDefault="00D0338B"/>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454ED8C9" w14:textId="77777777" w:rsidR="00D0338B" w:rsidRDefault="00DB7EA0">
            <w:pPr>
              <w:jc w:val="right"/>
            </w:pPr>
            <w:r>
              <w:rPr>
                <w:rFonts w:ascii="Arial" w:eastAsia="Arial" w:hAnsi="Arial" w:cs="Arial"/>
                <w:color w:val="000000"/>
                <w:sz w:val="16"/>
              </w:rPr>
              <w:t>754,762 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7CDF6DC8"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839EE6" w14:textId="77777777" w:rsidR="00D0338B" w:rsidRDefault="00D0338B"/>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2E73A02B" w14:textId="77777777" w:rsidR="00D0338B" w:rsidRDefault="00DB7EA0">
            <w:pPr>
              <w:jc w:val="right"/>
            </w:pPr>
            <w:r>
              <w:rPr>
                <w:rFonts w:ascii="Arial" w:eastAsia="Arial" w:hAnsi="Arial" w:cs="Arial"/>
                <w:color w:val="000000"/>
                <w:sz w:val="16"/>
              </w:rPr>
              <w:t>769,384 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4D45775" w14:textId="77777777" w:rsidR="00D0338B" w:rsidRDefault="00D0338B">
            <w:pPr>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2BE213" w14:textId="77777777" w:rsidR="00D0338B" w:rsidRDefault="00D0338B"/>
        </w:tc>
        <w:tc>
          <w:tcPr>
            <w:tcW w:w="995" w:type="dxa"/>
            <w:gridSpan w:val="2"/>
            <w:tcBorders>
              <w:top w:val="nil"/>
              <w:left w:val="nil"/>
              <w:bottom w:val="nil"/>
              <w:right w:val="nil"/>
            </w:tcBorders>
            <w:shd w:val="clear" w:color="auto" w:fill="CCEEFF"/>
            <w:tcMar>
              <w:top w:w="0" w:type="dxa"/>
              <w:left w:w="53" w:type="dxa"/>
              <w:bottom w:w="0" w:type="dxa"/>
              <w:right w:w="0" w:type="dxa"/>
            </w:tcMar>
            <w:vAlign w:val="center"/>
          </w:tcPr>
          <w:p w14:paraId="0B8C99B8" w14:textId="77777777" w:rsidR="00D0338B" w:rsidRDefault="00DB7EA0">
            <w:pPr>
              <w:jc w:val="right"/>
            </w:pPr>
            <w:r>
              <w:rPr>
                <w:rFonts w:ascii="Arial" w:eastAsia="Arial" w:hAnsi="Arial" w:cs="Arial"/>
                <w:color w:val="000000"/>
                <w:sz w:val="16"/>
              </w:rPr>
              <w:t>736,754 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14:paraId="2BF1DEC5" w14:textId="77777777" w:rsidR="00D0338B" w:rsidRDefault="00D0338B">
            <w:pPr>
              <w:jc w:val="right"/>
            </w:pPr>
          </w:p>
        </w:tc>
      </w:tr>
    </w:tbl>
    <w:p w14:paraId="74338D5F" w14:textId="77777777" w:rsidR="00D0338B" w:rsidRDefault="00D0338B">
      <w:pPr>
        <w:spacing w:line="288" w:lineRule="auto"/>
        <w:rPr>
          <w:rFonts w:ascii="Arial" w:eastAsia="Arial" w:hAnsi="Arial" w:cs="Arial"/>
          <w:sz w:val="16"/>
        </w:rPr>
      </w:pPr>
      <w:bookmarkStart w:id="2" w:name="Section3"/>
      <w:bookmarkEnd w:id="2"/>
    </w:p>
    <w:p w14:paraId="78C37BDB" w14:textId="77777777" w:rsidR="00D0338B" w:rsidRDefault="00D0338B">
      <w:pPr>
        <w:spacing w:line="288" w:lineRule="auto"/>
        <w:sectPr w:rsidR="00D0338B">
          <w:pgSz w:w="12240" w:h="15840"/>
          <w:pgMar w:top="720" w:right="720" w:bottom="720" w:left="1080" w:header="270" w:footer="270" w:gutter="0"/>
          <w:cols w:space="708"/>
        </w:sectPr>
      </w:pPr>
    </w:p>
    <w:p w14:paraId="7E73749E" w14:textId="77777777" w:rsidR="00D0338B" w:rsidRDefault="00DB7EA0">
      <w:pPr>
        <w:keepLines/>
        <w:widowControl w:val="0"/>
        <w:spacing w:after="100" w:line="288" w:lineRule="auto"/>
        <w:jc w:val="center"/>
        <w:rPr>
          <w:sz w:val="20"/>
        </w:rPr>
      </w:pPr>
      <w:bookmarkStart w:id="3" w:name="Section4"/>
      <w:bookmarkEnd w:id="3"/>
      <w:r>
        <w:rPr>
          <w:sz w:val="20"/>
        </w:rPr>
        <w:lastRenderedPageBreak/>
        <w:t xml:space="preserve"> </w:t>
      </w: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5"/>
        <w:gridCol w:w="162"/>
        <w:gridCol w:w="846"/>
        <w:gridCol w:w="101"/>
        <w:gridCol w:w="113"/>
        <w:gridCol w:w="162"/>
        <w:gridCol w:w="846"/>
        <w:gridCol w:w="101"/>
        <w:gridCol w:w="113"/>
        <w:gridCol w:w="162"/>
        <w:gridCol w:w="846"/>
        <w:gridCol w:w="239"/>
      </w:tblGrid>
      <w:tr w:rsidR="00D0338B" w14:paraId="7C857AA2" w14:textId="77777777" w:rsidTr="009864DB">
        <w:trPr>
          <w:cantSplit/>
          <w:trHeight w:hRule="exact" w:val="255"/>
          <w:tblHeader/>
          <w:jc w:val="center"/>
        </w:trPr>
        <w:tc>
          <w:tcPr>
            <w:tcW w:w="10756" w:type="dxa"/>
            <w:gridSpan w:val="12"/>
            <w:tcBorders>
              <w:top w:val="nil"/>
              <w:left w:val="nil"/>
              <w:bottom w:val="nil"/>
              <w:right w:val="nil"/>
            </w:tcBorders>
            <w:tcMar>
              <w:top w:w="0" w:type="dxa"/>
              <w:left w:w="53" w:type="dxa"/>
              <w:bottom w:w="0" w:type="dxa"/>
              <w:right w:w="53" w:type="dxa"/>
            </w:tcMar>
            <w:vAlign w:val="center"/>
          </w:tcPr>
          <w:p w14:paraId="2E4DDF8A" w14:textId="77777777" w:rsidR="00D0338B" w:rsidRDefault="00DB7EA0">
            <w:pPr>
              <w:keepNext/>
              <w:jc w:val="center"/>
            </w:pPr>
            <w:r>
              <w:rPr>
                <w:rFonts w:ascii="Arial" w:eastAsia="Arial" w:hAnsi="Arial" w:cs="Arial"/>
                <w:b/>
                <w:color w:val="000000"/>
                <w:sz w:val="16"/>
              </w:rPr>
              <w:t xml:space="preserve"> PPL CORPORATION AND SUBSIDIARIES</w:t>
            </w:r>
          </w:p>
        </w:tc>
      </w:tr>
      <w:tr w:rsidR="00D0338B" w14:paraId="57195336" w14:textId="77777777" w:rsidTr="009864DB">
        <w:trPr>
          <w:cantSplit/>
          <w:trHeight w:hRule="exact" w:val="255"/>
          <w:tblHeader/>
          <w:jc w:val="center"/>
        </w:trPr>
        <w:tc>
          <w:tcPr>
            <w:tcW w:w="10756" w:type="dxa"/>
            <w:gridSpan w:val="12"/>
            <w:tcBorders>
              <w:top w:val="nil"/>
              <w:left w:val="nil"/>
              <w:bottom w:val="nil"/>
              <w:right w:val="nil"/>
            </w:tcBorders>
            <w:tcMar>
              <w:top w:w="0" w:type="dxa"/>
              <w:left w:w="53" w:type="dxa"/>
              <w:bottom w:w="0" w:type="dxa"/>
              <w:right w:w="53" w:type="dxa"/>
            </w:tcMar>
            <w:vAlign w:val="center"/>
          </w:tcPr>
          <w:p w14:paraId="27BEA053" w14:textId="77777777" w:rsidR="00D0338B" w:rsidRDefault="00DB7EA0">
            <w:pPr>
              <w:keepNext/>
              <w:jc w:val="center"/>
            </w:pPr>
            <w:r>
              <w:rPr>
                <w:rFonts w:ascii="Arial" w:eastAsia="Arial" w:hAnsi="Arial" w:cs="Arial"/>
                <w:b/>
                <w:color w:val="000000"/>
                <w:sz w:val="16"/>
              </w:rPr>
              <w:t>Condensed Consolidated Statements of Cash Flows (Unaudited)</w:t>
            </w:r>
          </w:p>
        </w:tc>
      </w:tr>
      <w:tr w:rsidR="00D0338B" w14:paraId="12ED8C8C" w14:textId="77777777" w:rsidTr="009864DB">
        <w:trPr>
          <w:cantSplit/>
          <w:trHeight w:hRule="exact" w:val="255"/>
          <w:tblHeader/>
          <w:jc w:val="center"/>
        </w:trPr>
        <w:tc>
          <w:tcPr>
            <w:tcW w:w="10756" w:type="dxa"/>
            <w:gridSpan w:val="12"/>
            <w:tcBorders>
              <w:top w:val="nil"/>
              <w:left w:val="nil"/>
              <w:bottom w:val="nil"/>
              <w:right w:val="nil"/>
            </w:tcBorders>
            <w:tcMar>
              <w:top w:w="0" w:type="dxa"/>
              <w:left w:w="53" w:type="dxa"/>
              <w:bottom w:w="0" w:type="dxa"/>
              <w:right w:w="53" w:type="dxa"/>
            </w:tcMar>
            <w:vAlign w:val="center"/>
          </w:tcPr>
          <w:p w14:paraId="019A2E44" w14:textId="77777777" w:rsidR="00D0338B" w:rsidRDefault="00DB7EA0">
            <w:pPr>
              <w:keepNext/>
              <w:jc w:val="center"/>
            </w:pPr>
            <w:r>
              <w:rPr>
                <w:rFonts w:ascii="Arial" w:eastAsia="Arial" w:hAnsi="Arial" w:cs="Arial"/>
                <w:b/>
                <w:color w:val="000000"/>
                <w:sz w:val="16"/>
              </w:rPr>
              <w:t>(Millions of Dollars)</w:t>
            </w:r>
          </w:p>
        </w:tc>
      </w:tr>
      <w:tr w:rsidR="00D0338B" w14:paraId="3E7E9EFF" w14:textId="77777777" w:rsidTr="009864DB">
        <w:trPr>
          <w:cantSplit/>
          <w:trHeight w:hRule="exact" w:val="255"/>
          <w:tblHeader/>
          <w:jc w:val="center"/>
        </w:trPr>
        <w:tc>
          <w:tcPr>
            <w:tcW w:w="7065" w:type="dxa"/>
            <w:tcBorders>
              <w:top w:val="nil"/>
              <w:left w:val="nil"/>
              <w:bottom w:val="nil"/>
              <w:right w:val="nil"/>
            </w:tcBorders>
            <w:tcMar>
              <w:top w:w="0" w:type="dxa"/>
              <w:left w:w="53" w:type="dxa"/>
              <w:bottom w:w="0" w:type="dxa"/>
              <w:right w:w="53" w:type="dxa"/>
            </w:tcMar>
            <w:vAlign w:val="bottom"/>
          </w:tcPr>
          <w:p w14:paraId="3E357FEC" w14:textId="77777777" w:rsidR="00D0338B" w:rsidRDefault="00D0338B">
            <w:pPr>
              <w:keepNext/>
              <w:spacing w:before="53" w:after="30"/>
              <w:ind w:left="4560"/>
            </w:pPr>
          </w:p>
        </w:tc>
        <w:tc>
          <w:tcPr>
            <w:tcW w:w="1109" w:type="dxa"/>
            <w:gridSpan w:val="3"/>
            <w:tcBorders>
              <w:top w:val="nil"/>
              <w:left w:val="nil"/>
              <w:bottom w:val="single" w:sz="8" w:space="0" w:color="000000"/>
              <w:right w:val="nil"/>
            </w:tcBorders>
            <w:tcMar>
              <w:top w:w="0" w:type="dxa"/>
              <w:left w:w="0" w:type="dxa"/>
              <w:bottom w:w="0" w:type="dxa"/>
              <w:right w:w="0" w:type="dxa"/>
            </w:tcMar>
            <w:vAlign w:val="bottom"/>
          </w:tcPr>
          <w:p w14:paraId="25795465" w14:textId="77777777" w:rsidR="00D0338B" w:rsidRDefault="00D0338B">
            <w:pPr>
              <w:keepNext/>
            </w:pPr>
          </w:p>
        </w:tc>
        <w:tc>
          <w:tcPr>
            <w:tcW w:w="113" w:type="dxa"/>
            <w:tcBorders>
              <w:top w:val="nil"/>
              <w:left w:val="nil"/>
              <w:bottom w:val="nil"/>
              <w:right w:val="nil"/>
            </w:tcBorders>
            <w:tcMar>
              <w:top w:w="0" w:type="dxa"/>
              <w:left w:w="0" w:type="dxa"/>
              <w:bottom w:w="0" w:type="dxa"/>
              <w:right w:w="0" w:type="dxa"/>
            </w:tcMar>
            <w:vAlign w:val="bottom"/>
          </w:tcPr>
          <w:p w14:paraId="3AA765C8" w14:textId="77777777" w:rsidR="00D0338B" w:rsidRDefault="00D0338B">
            <w:pPr>
              <w:keepNext/>
            </w:pPr>
          </w:p>
        </w:tc>
        <w:tc>
          <w:tcPr>
            <w:tcW w:w="1109" w:type="dxa"/>
            <w:gridSpan w:val="3"/>
            <w:tcBorders>
              <w:top w:val="nil"/>
              <w:left w:val="nil"/>
              <w:bottom w:val="single" w:sz="8" w:space="0" w:color="000000"/>
              <w:right w:val="nil"/>
            </w:tcBorders>
            <w:tcMar>
              <w:top w:w="0" w:type="dxa"/>
              <w:left w:w="0" w:type="dxa"/>
              <w:bottom w:w="0" w:type="dxa"/>
              <w:right w:w="0" w:type="dxa"/>
            </w:tcMar>
            <w:vAlign w:val="bottom"/>
          </w:tcPr>
          <w:p w14:paraId="42F8813F" w14:textId="77777777" w:rsidR="00D0338B" w:rsidRDefault="00D0338B">
            <w:pPr>
              <w:keepNext/>
            </w:pPr>
          </w:p>
        </w:tc>
        <w:tc>
          <w:tcPr>
            <w:tcW w:w="113" w:type="dxa"/>
            <w:tcBorders>
              <w:top w:val="nil"/>
              <w:left w:val="nil"/>
              <w:bottom w:val="nil"/>
              <w:right w:val="nil"/>
            </w:tcBorders>
            <w:tcMar>
              <w:top w:w="0" w:type="dxa"/>
              <w:left w:w="0" w:type="dxa"/>
              <w:bottom w:w="0" w:type="dxa"/>
              <w:right w:w="0" w:type="dxa"/>
            </w:tcMar>
            <w:vAlign w:val="bottom"/>
          </w:tcPr>
          <w:p w14:paraId="528334B0" w14:textId="77777777" w:rsidR="00D0338B" w:rsidRDefault="00D0338B">
            <w:pPr>
              <w:keepNext/>
            </w:pPr>
          </w:p>
        </w:tc>
        <w:tc>
          <w:tcPr>
            <w:tcW w:w="1247" w:type="dxa"/>
            <w:gridSpan w:val="3"/>
            <w:tcBorders>
              <w:top w:val="nil"/>
              <w:left w:val="nil"/>
              <w:bottom w:val="single" w:sz="8" w:space="0" w:color="000000"/>
              <w:right w:val="nil"/>
            </w:tcBorders>
            <w:tcMar>
              <w:top w:w="0" w:type="dxa"/>
              <w:left w:w="0" w:type="dxa"/>
              <w:bottom w:w="0" w:type="dxa"/>
              <w:right w:w="0" w:type="dxa"/>
            </w:tcMar>
            <w:vAlign w:val="bottom"/>
          </w:tcPr>
          <w:p w14:paraId="0E8925DF" w14:textId="77777777" w:rsidR="00D0338B" w:rsidRDefault="00D0338B">
            <w:pPr>
              <w:keepNext/>
            </w:pPr>
          </w:p>
        </w:tc>
      </w:tr>
      <w:tr w:rsidR="00D0338B" w14:paraId="65DBA216" w14:textId="77777777" w:rsidTr="009864DB">
        <w:trPr>
          <w:cantSplit/>
          <w:trHeight w:hRule="exact" w:val="255"/>
          <w:jc w:val="center"/>
        </w:trPr>
        <w:tc>
          <w:tcPr>
            <w:tcW w:w="7065" w:type="dxa"/>
            <w:tcBorders>
              <w:top w:val="nil"/>
              <w:left w:val="nil"/>
              <w:bottom w:val="nil"/>
              <w:right w:val="nil"/>
            </w:tcBorders>
            <w:tcMar>
              <w:top w:w="0" w:type="dxa"/>
              <w:left w:w="0" w:type="dxa"/>
              <w:bottom w:w="0" w:type="dxa"/>
              <w:right w:w="0" w:type="dxa"/>
            </w:tcMar>
            <w:vAlign w:val="bottom"/>
          </w:tcPr>
          <w:p w14:paraId="1AA68550" w14:textId="77777777" w:rsidR="00D0338B" w:rsidRDefault="00D0338B">
            <w:pPr>
              <w:keepNext/>
            </w:pPr>
          </w:p>
        </w:tc>
        <w:tc>
          <w:tcPr>
            <w:tcW w:w="1109"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01551E64" w14:textId="77777777" w:rsidR="00D0338B" w:rsidRDefault="00DB7EA0">
            <w:pPr>
              <w:keepNext/>
              <w:jc w:val="center"/>
            </w:pPr>
            <w:r>
              <w:rPr>
                <w:rFonts w:ascii="Arial" w:eastAsia="Arial" w:hAnsi="Arial" w:cs="Arial"/>
                <w:b/>
                <w:color w:val="000000"/>
                <w:sz w:val="16"/>
              </w:rPr>
              <w:t>2020</w:t>
            </w:r>
          </w:p>
        </w:tc>
        <w:tc>
          <w:tcPr>
            <w:tcW w:w="113" w:type="dxa"/>
            <w:tcBorders>
              <w:top w:val="nil"/>
              <w:left w:val="nil"/>
              <w:bottom w:val="nil"/>
              <w:right w:val="nil"/>
            </w:tcBorders>
            <w:tcMar>
              <w:top w:w="0" w:type="dxa"/>
              <w:left w:w="0" w:type="dxa"/>
              <w:bottom w:w="0" w:type="dxa"/>
              <w:right w:w="0" w:type="dxa"/>
            </w:tcMar>
            <w:vAlign w:val="bottom"/>
          </w:tcPr>
          <w:p w14:paraId="397B8B04" w14:textId="77777777" w:rsidR="00D0338B" w:rsidRDefault="00D0338B">
            <w:pPr>
              <w:keepNext/>
            </w:pPr>
          </w:p>
        </w:tc>
        <w:tc>
          <w:tcPr>
            <w:tcW w:w="1109"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5390E422" w14:textId="77777777" w:rsidR="00D0338B" w:rsidRDefault="00DB7EA0">
            <w:pPr>
              <w:keepNext/>
              <w:jc w:val="center"/>
            </w:pPr>
            <w:r>
              <w:rPr>
                <w:rFonts w:ascii="Arial" w:eastAsia="Arial" w:hAnsi="Arial" w:cs="Arial"/>
                <w:b/>
                <w:color w:val="000000"/>
                <w:sz w:val="16"/>
              </w:rPr>
              <w:t>2019</w:t>
            </w:r>
          </w:p>
        </w:tc>
        <w:tc>
          <w:tcPr>
            <w:tcW w:w="113" w:type="dxa"/>
            <w:tcBorders>
              <w:top w:val="nil"/>
              <w:left w:val="nil"/>
              <w:bottom w:val="nil"/>
              <w:right w:val="nil"/>
            </w:tcBorders>
            <w:tcMar>
              <w:top w:w="0" w:type="dxa"/>
              <w:left w:w="0" w:type="dxa"/>
              <w:bottom w:w="0" w:type="dxa"/>
              <w:right w:w="0" w:type="dxa"/>
            </w:tcMar>
            <w:vAlign w:val="bottom"/>
          </w:tcPr>
          <w:p w14:paraId="788CBCD2" w14:textId="77777777" w:rsidR="00D0338B" w:rsidRDefault="00D0338B">
            <w:pPr>
              <w:keepNext/>
            </w:pPr>
          </w:p>
        </w:tc>
        <w:tc>
          <w:tcPr>
            <w:tcW w:w="1247"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14:paraId="4A34C7A3" w14:textId="77777777" w:rsidR="00D0338B" w:rsidRDefault="00DB7EA0">
            <w:pPr>
              <w:keepNext/>
              <w:jc w:val="center"/>
            </w:pPr>
            <w:r>
              <w:rPr>
                <w:rFonts w:ascii="Arial" w:eastAsia="Arial" w:hAnsi="Arial" w:cs="Arial"/>
                <w:b/>
                <w:color w:val="000000"/>
                <w:sz w:val="16"/>
              </w:rPr>
              <w:t>2018</w:t>
            </w:r>
          </w:p>
        </w:tc>
      </w:tr>
      <w:tr w:rsidR="00D0338B" w14:paraId="7B200818" w14:textId="77777777" w:rsidTr="009864DB">
        <w:trPr>
          <w:cantSplit/>
          <w:trHeight w:hRule="exact" w:val="255"/>
          <w:jc w:val="center"/>
        </w:trPr>
        <w:tc>
          <w:tcPr>
            <w:tcW w:w="7065" w:type="dxa"/>
            <w:tcBorders>
              <w:top w:val="nil"/>
              <w:left w:val="nil"/>
              <w:bottom w:val="nil"/>
              <w:right w:val="nil"/>
            </w:tcBorders>
            <w:tcMar>
              <w:top w:w="0" w:type="dxa"/>
              <w:left w:w="53" w:type="dxa"/>
              <w:bottom w:w="0" w:type="dxa"/>
              <w:right w:w="53" w:type="dxa"/>
            </w:tcMar>
            <w:vAlign w:val="center"/>
          </w:tcPr>
          <w:p w14:paraId="35E61915" w14:textId="77777777" w:rsidR="00D0338B" w:rsidRDefault="00DB7EA0">
            <w:pPr>
              <w:keepNext/>
            </w:pPr>
            <w:r>
              <w:rPr>
                <w:rFonts w:ascii="Arial" w:eastAsia="Arial" w:hAnsi="Arial" w:cs="Arial"/>
                <w:b/>
                <w:color w:val="000000"/>
                <w:sz w:val="16"/>
              </w:rPr>
              <w:t>Cash Flows from Operating Activities</w:t>
            </w:r>
          </w:p>
        </w:tc>
        <w:tc>
          <w:tcPr>
            <w:tcW w:w="1109"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575D1478" w14:textId="77777777" w:rsidR="00D0338B" w:rsidRDefault="00D0338B">
            <w:pPr>
              <w:keepNex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8E71144" w14:textId="77777777" w:rsidR="00D0338B" w:rsidRDefault="00D0338B">
            <w:pPr>
              <w:keepNext/>
            </w:pPr>
          </w:p>
        </w:tc>
        <w:tc>
          <w:tcPr>
            <w:tcW w:w="1109"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438E3718" w14:textId="77777777" w:rsidR="00D0338B" w:rsidRDefault="00D0338B">
            <w:pPr>
              <w:keepNex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1E461F2" w14:textId="77777777" w:rsidR="00D0338B" w:rsidRDefault="00D0338B">
            <w:pPr>
              <w:keepNext/>
            </w:pPr>
          </w:p>
        </w:tc>
        <w:tc>
          <w:tcPr>
            <w:tcW w:w="1247"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718E4CAA" w14:textId="77777777" w:rsidR="00D0338B" w:rsidRDefault="00D0338B">
            <w:pPr>
              <w:keepNext/>
            </w:pPr>
          </w:p>
        </w:tc>
      </w:tr>
      <w:tr w:rsidR="00D0338B" w14:paraId="05E98024"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16E3881E" w14:textId="77777777" w:rsidR="00D0338B" w:rsidRDefault="00DB7EA0">
            <w:pPr>
              <w:keepNext/>
              <w:ind w:left="135"/>
            </w:pPr>
            <w:r>
              <w:rPr>
                <w:rFonts w:ascii="Arial" w:eastAsia="Arial" w:hAnsi="Arial" w:cs="Arial"/>
                <w:color w:val="000000"/>
                <w:sz w:val="16"/>
              </w:rPr>
              <w:t xml:space="preserve">Net income </w:t>
            </w: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31E9A311"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6B21978B" w14:textId="77777777" w:rsidR="00D0338B" w:rsidRDefault="00DB7EA0">
            <w:pPr>
              <w:keepNext/>
              <w:jc w:val="right"/>
            </w:pPr>
            <w:r>
              <w:rPr>
                <w:rFonts w:ascii="Arial" w:eastAsia="Arial" w:hAnsi="Arial" w:cs="Arial"/>
                <w:color w:val="000000"/>
                <w:sz w:val="16"/>
              </w:rPr>
              <w:t>1,469 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02BF9D92"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C0C9713" w14:textId="77777777" w:rsidR="00D0338B" w:rsidRDefault="00D0338B">
            <w:pPr>
              <w:keepNext/>
            </w:pP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5A0C6DC0"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29DB31EA" w14:textId="77777777" w:rsidR="00D0338B" w:rsidRDefault="00DB7EA0">
            <w:pPr>
              <w:keepNext/>
              <w:jc w:val="right"/>
            </w:pPr>
            <w:r>
              <w:rPr>
                <w:rFonts w:ascii="Arial" w:eastAsia="Arial" w:hAnsi="Arial" w:cs="Arial"/>
                <w:color w:val="000000"/>
                <w:sz w:val="16"/>
              </w:rPr>
              <w:t>1,746 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59169A06"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531FC4FA" w14:textId="77777777" w:rsidR="00D0338B" w:rsidRDefault="00D0338B">
            <w:pPr>
              <w:keepNext/>
            </w:pP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04D47AC6"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6676AA23" w14:textId="77777777" w:rsidR="00D0338B" w:rsidRDefault="00DB7EA0">
            <w:pPr>
              <w:keepNext/>
              <w:jc w:val="right"/>
            </w:pPr>
            <w:r>
              <w:rPr>
                <w:rFonts w:ascii="Arial" w:eastAsia="Arial" w:hAnsi="Arial" w:cs="Arial"/>
                <w:color w:val="000000"/>
                <w:sz w:val="16"/>
              </w:rPr>
              <w:t>1,827 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7169E0FF" w14:textId="77777777" w:rsidR="00D0338B" w:rsidRDefault="00D0338B">
            <w:pPr>
              <w:keepNext/>
              <w:jc w:val="right"/>
            </w:pPr>
          </w:p>
        </w:tc>
      </w:tr>
      <w:tr w:rsidR="00D0338B" w14:paraId="6E983A57"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69E58EF6" w14:textId="77777777" w:rsidR="00D0338B" w:rsidRDefault="00DB7EA0">
            <w:pPr>
              <w:keepNext/>
              <w:ind w:left="135"/>
            </w:pPr>
            <w:r>
              <w:rPr>
                <w:rFonts w:ascii="Arial" w:eastAsia="Arial" w:hAnsi="Arial" w:cs="Arial"/>
                <w:color w:val="000000"/>
                <w:sz w:val="16"/>
              </w:rPr>
              <w:t xml:space="preserve">Adjustments to reconcile net income to net cash provided by operating activities </w:t>
            </w:r>
          </w:p>
        </w:tc>
        <w:tc>
          <w:tcPr>
            <w:tcW w:w="1109" w:type="dxa"/>
            <w:gridSpan w:val="3"/>
            <w:tcBorders>
              <w:top w:val="nil"/>
              <w:left w:val="nil"/>
              <w:bottom w:val="nil"/>
              <w:right w:val="nil"/>
            </w:tcBorders>
            <w:shd w:val="clear" w:color="auto" w:fill="FFFFFF"/>
            <w:tcMar>
              <w:top w:w="0" w:type="dxa"/>
              <w:left w:w="53" w:type="dxa"/>
              <w:bottom w:w="0" w:type="dxa"/>
              <w:right w:w="53" w:type="dxa"/>
            </w:tcMar>
            <w:vAlign w:val="center"/>
          </w:tcPr>
          <w:p w14:paraId="26AA61D0"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7177385C" w14:textId="77777777" w:rsidR="00D0338B" w:rsidRDefault="00D0338B">
            <w:pPr>
              <w:keepNext/>
            </w:pPr>
          </w:p>
        </w:tc>
        <w:tc>
          <w:tcPr>
            <w:tcW w:w="1109" w:type="dxa"/>
            <w:gridSpan w:val="3"/>
            <w:tcBorders>
              <w:top w:val="nil"/>
              <w:left w:val="nil"/>
              <w:bottom w:val="nil"/>
              <w:right w:val="nil"/>
            </w:tcBorders>
            <w:shd w:val="clear" w:color="auto" w:fill="FFFFFF"/>
            <w:tcMar>
              <w:top w:w="0" w:type="dxa"/>
              <w:left w:w="53" w:type="dxa"/>
              <w:bottom w:w="0" w:type="dxa"/>
              <w:right w:w="53" w:type="dxa"/>
            </w:tcMar>
            <w:vAlign w:val="center"/>
          </w:tcPr>
          <w:p w14:paraId="05BA0C6C"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D7B4D65" w14:textId="77777777" w:rsidR="00D0338B" w:rsidRDefault="00D0338B">
            <w:pPr>
              <w:keepNext/>
            </w:pPr>
          </w:p>
        </w:tc>
        <w:tc>
          <w:tcPr>
            <w:tcW w:w="1247" w:type="dxa"/>
            <w:gridSpan w:val="3"/>
            <w:tcBorders>
              <w:top w:val="nil"/>
              <w:left w:val="nil"/>
              <w:bottom w:val="nil"/>
              <w:right w:val="nil"/>
            </w:tcBorders>
            <w:shd w:val="clear" w:color="auto" w:fill="FFFFFF"/>
            <w:tcMar>
              <w:top w:w="0" w:type="dxa"/>
              <w:left w:w="53" w:type="dxa"/>
              <w:bottom w:w="0" w:type="dxa"/>
              <w:right w:w="53" w:type="dxa"/>
            </w:tcMar>
            <w:vAlign w:val="center"/>
          </w:tcPr>
          <w:p w14:paraId="0E550472" w14:textId="77777777" w:rsidR="00D0338B" w:rsidRDefault="00D0338B">
            <w:pPr>
              <w:keepNext/>
              <w:jc w:val="right"/>
            </w:pPr>
          </w:p>
        </w:tc>
      </w:tr>
      <w:tr w:rsidR="00D0338B" w14:paraId="296EDE25"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61030CE5" w14:textId="77777777" w:rsidR="00D0338B" w:rsidRDefault="00DB7EA0">
            <w:pPr>
              <w:keepNext/>
              <w:ind w:left="225"/>
            </w:pPr>
            <w:r>
              <w:rPr>
                <w:rFonts w:ascii="Arial" w:eastAsia="Arial" w:hAnsi="Arial" w:cs="Arial"/>
                <w:color w:val="000000"/>
                <w:sz w:val="16"/>
              </w:rPr>
              <w:t>Depreciation</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4D129F9B" w14:textId="77777777" w:rsidR="00D0338B" w:rsidRDefault="00DB7EA0">
            <w:pPr>
              <w:keepNext/>
              <w:jc w:val="right"/>
            </w:pPr>
            <w:r>
              <w:rPr>
                <w:rFonts w:ascii="Arial" w:eastAsia="Arial" w:hAnsi="Arial" w:cs="Arial"/>
                <w:color w:val="000000"/>
                <w:sz w:val="16"/>
              </w:rPr>
              <w:t>1,287 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5E81E528"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3841264B"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3666E144" w14:textId="77777777" w:rsidR="00D0338B" w:rsidRDefault="00DB7EA0">
            <w:pPr>
              <w:keepNext/>
              <w:jc w:val="right"/>
            </w:pPr>
            <w:r>
              <w:rPr>
                <w:rFonts w:ascii="Arial" w:eastAsia="Arial" w:hAnsi="Arial" w:cs="Arial"/>
                <w:color w:val="000000"/>
                <w:sz w:val="16"/>
              </w:rPr>
              <w:t>1,199 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23DCB543"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52290B9"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7A16EAAF" w14:textId="77777777" w:rsidR="00D0338B" w:rsidRDefault="00DB7EA0">
            <w:pPr>
              <w:keepNext/>
              <w:jc w:val="right"/>
            </w:pPr>
            <w:r>
              <w:rPr>
                <w:rFonts w:ascii="Arial" w:eastAsia="Arial" w:hAnsi="Arial" w:cs="Arial"/>
                <w:color w:val="000000"/>
                <w:sz w:val="16"/>
              </w:rPr>
              <w:t>1,094 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5C3647D7" w14:textId="77777777" w:rsidR="00D0338B" w:rsidRDefault="00D0338B">
            <w:pPr>
              <w:keepNext/>
              <w:jc w:val="right"/>
            </w:pPr>
          </w:p>
        </w:tc>
      </w:tr>
      <w:tr w:rsidR="00D0338B" w14:paraId="37BB3032" w14:textId="77777777" w:rsidTr="009864DB">
        <w:trPr>
          <w:cantSplit/>
          <w:trHeight w:hRule="exact" w:val="22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1D4CFF85" w14:textId="77777777" w:rsidR="00D0338B" w:rsidRDefault="00DB7EA0">
            <w:pPr>
              <w:keepNext/>
              <w:ind w:left="225"/>
            </w:pPr>
            <w:r>
              <w:rPr>
                <w:rFonts w:ascii="Arial" w:eastAsia="Arial" w:hAnsi="Arial" w:cs="Arial"/>
                <w:color w:val="000000"/>
                <w:sz w:val="16"/>
              </w:rPr>
              <w:t>Amortization</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DF34F22" w14:textId="77777777" w:rsidR="00D0338B" w:rsidRDefault="00DB7EA0">
            <w:pPr>
              <w:keepNext/>
              <w:jc w:val="right"/>
            </w:pPr>
            <w:r>
              <w:rPr>
                <w:rFonts w:ascii="Arial" w:eastAsia="Arial" w:hAnsi="Arial" w:cs="Arial"/>
                <w:color w:val="000000"/>
                <w:sz w:val="16"/>
              </w:rPr>
              <w:t>72 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6A2F9F92"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009842C"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820678C" w14:textId="77777777" w:rsidR="00D0338B" w:rsidRDefault="00DB7EA0">
            <w:pPr>
              <w:keepNext/>
              <w:jc w:val="right"/>
            </w:pPr>
            <w:r>
              <w:rPr>
                <w:rFonts w:ascii="Arial" w:eastAsia="Arial" w:hAnsi="Arial" w:cs="Arial"/>
                <w:color w:val="000000"/>
                <w:sz w:val="16"/>
              </w:rPr>
              <w:t>81 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E313E5A"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6231CA06"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B204563" w14:textId="77777777" w:rsidR="00D0338B" w:rsidRDefault="00DB7EA0">
            <w:pPr>
              <w:keepNext/>
              <w:jc w:val="right"/>
            </w:pPr>
            <w:r>
              <w:rPr>
                <w:rFonts w:ascii="Arial" w:eastAsia="Arial" w:hAnsi="Arial" w:cs="Arial"/>
                <w:color w:val="000000"/>
                <w:sz w:val="16"/>
              </w:rPr>
              <w:t>78 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1012AE73" w14:textId="77777777" w:rsidR="00D0338B" w:rsidRDefault="00D0338B">
            <w:pPr>
              <w:keepNext/>
              <w:jc w:val="right"/>
            </w:pPr>
          </w:p>
        </w:tc>
      </w:tr>
      <w:tr w:rsidR="00D0338B" w14:paraId="7E4B3799"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2334AD68" w14:textId="77777777" w:rsidR="00D0338B" w:rsidRDefault="00DB7EA0">
            <w:pPr>
              <w:keepNext/>
              <w:ind w:left="225"/>
            </w:pPr>
            <w:r>
              <w:rPr>
                <w:rFonts w:ascii="Arial" w:eastAsia="Arial" w:hAnsi="Arial" w:cs="Arial"/>
                <w:color w:val="000000"/>
                <w:sz w:val="16"/>
              </w:rPr>
              <w:t>Defined benefit plans - (income)</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36ED2DF2" w14:textId="77777777" w:rsidR="00D0338B" w:rsidRDefault="00DB7EA0">
            <w:pPr>
              <w:keepNext/>
              <w:jc w:val="right"/>
            </w:pPr>
            <w:r>
              <w:rPr>
                <w:rFonts w:ascii="Arial" w:eastAsia="Arial" w:hAnsi="Arial" w:cs="Arial"/>
                <w:color w:val="000000"/>
                <w:sz w:val="16"/>
              </w:rPr>
              <w:t>(201)</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44087B79"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475B3A4"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02795686" w14:textId="77777777" w:rsidR="00D0338B" w:rsidRDefault="00DB7EA0">
            <w:pPr>
              <w:keepNext/>
              <w:jc w:val="right"/>
            </w:pPr>
            <w:r>
              <w:rPr>
                <w:rFonts w:ascii="Arial" w:eastAsia="Arial" w:hAnsi="Arial" w:cs="Arial"/>
                <w:color w:val="000000"/>
                <w:sz w:val="16"/>
              </w:rPr>
              <w:t>(263)</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03F91226"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539E984"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19C02FC8" w14:textId="77777777" w:rsidR="00D0338B" w:rsidRDefault="00DB7EA0">
            <w:pPr>
              <w:keepNext/>
              <w:jc w:val="right"/>
            </w:pPr>
            <w:r>
              <w:rPr>
                <w:rFonts w:ascii="Arial" w:eastAsia="Arial" w:hAnsi="Arial" w:cs="Arial"/>
                <w:color w:val="000000"/>
                <w:sz w:val="16"/>
              </w:rPr>
              <w:t>(192)</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7CF5D722" w14:textId="77777777" w:rsidR="00D0338B" w:rsidRDefault="00D0338B">
            <w:pPr>
              <w:keepNext/>
              <w:jc w:val="right"/>
            </w:pPr>
          </w:p>
        </w:tc>
      </w:tr>
      <w:tr w:rsidR="00D0338B" w14:paraId="2E1502E3"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26A0D95A" w14:textId="77777777" w:rsidR="00D0338B" w:rsidRDefault="00DB7EA0">
            <w:pPr>
              <w:keepNext/>
              <w:ind w:left="225"/>
            </w:pPr>
            <w:r>
              <w:rPr>
                <w:rFonts w:ascii="Arial" w:eastAsia="Arial" w:hAnsi="Arial" w:cs="Arial"/>
                <w:color w:val="000000"/>
                <w:sz w:val="16"/>
              </w:rPr>
              <w:t>Deferred income taxes and investment tax credits</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03BF1369" w14:textId="77777777" w:rsidR="00D0338B" w:rsidRDefault="00DB7EA0">
            <w:pPr>
              <w:keepNext/>
              <w:jc w:val="right"/>
            </w:pPr>
            <w:r>
              <w:rPr>
                <w:rFonts w:ascii="Arial" w:eastAsia="Arial" w:hAnsi="Arial" w:cs="Arial"/>
                <w:color w:val="000000"/>
                <w:sz w:val="16"/>
              </w:rPr>
              <w:t>402 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54586215"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5DB7AFA5"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ADA3BFC" w14:textId="77777777" w:rsidR="00D0338B" w:rsidRDefault="00DB7EA0">
            <w:pPr>
              <w:keepNext/>
              <w:jc w:val="right"/>
            </w:pPr>
            <w:r>
              <w:rPr>
                <w:rFonts w:ascii="Arial" w:eastAsia="Arial" w:hAnsi="Arial" w:cs="Arial"/>
                <w:color w:val="000000"/>
                <w:sz w:val="16"/>
              </w:rPr>
              <w:t>309 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513C13BA"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08CDB70B"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56F3C6C2" w14:textId="77777777" w:rsidR="00D0338B" w:rsidRDefault="00DB7EA0">
            <w:pPr>
              <w:keepNext/>
              <w:jc w:val="right"/>
            </w:pPr>
            <w:r>
              <w:rPr>
                <w:rFonts w:ascii="Arial" w:eastAsia="Arial" w:hAnsi="Arial" w:cs="Arial"/>
                <w:color w:val="000000"/>
                <w:sz w:val="16"/>
              </w:rPr>
              <w:t>355 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611CEF4B" w14:textId="77777777" w:rsidR="00D0338B" w:rsidRDefault="00D0338B">
            <w:pPr>
              <w:keepNext/>
              <w:jc w:val="right"/>
            </w:pPr>
          </w:p>
        </w:tc>
      </w:tr>
      <w:tr w:rsidR="00D0338B" w14:paraId="7224AEC8"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771C94DB" w14:textId="77777777" w:rsidR="00D0338B" w:rsidRDefault="00DB7EA0">
            <w:pPr>
              <w:keepNext/>
              <w:ind w:left="225"/>
            </w:pPr>
            <w:r>
              <w:rPr>
                <w:rFonts w:ascii="Arial" w:eastAsia="Arial" w:hAnsi="Arial" w:cs="Arial"/>
                <w:color w:val="000000"/>
                <w:sz w:val="16"/>
              </w:rPr>
              <w:t>Unrealized (gains) losses on derivatives, and other hedging activities</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1E877FF6" w14:textId="77777777" w:rsidR="00D0338B" w:rsidRDefault="00DB7EA0">
            <w:pPr>
              <w:keepNext/>
              <w:jc w:val="right"/>
            </w:pPr>
            <w:r>
              <w:rPr>
                <w:rFonts w:ascii="Arial" w:eastAsia="Arial" w:hAnsi="Arial" w:cs="Arial"/>
                <w:color w:val="000000"/>
                <w:sz w:val="16"/>
              </w:rPr>
              <w:t>280 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4F44B125"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94CBBCD"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2FCD5568" w14:textId="77777777" w:rsidR="00D0338B" w:rsidRDefault="00DB7EA0">
            <w:pPr>
              <w:keepNext/>
              <w:jc w:val="right"/>
            </w:pPr>
            <w:r>
              <w:rPr>
                <w:rFonts w:ascii="Arial" w:eastAsia="Arial" w:hAnsi="Arial" w:cs="Arial"/>
                <w:color w:val="000000"/>
                <w:sz w:val="16"/>
              </w:rPr>
              <w:t>73 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3523784"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3428C0C2"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1A77AB6B" w14:textId="77777777" w:rsidR="00D0338B" w:rsidRDefault="00DB7EA0">
            <w:pPr>
              <w:keepNext/>
              <w:jc w:val="right"/>
            </w:pPr>
            <w:r>
              <w:rPr>
                <w:rFonts w:ascii="Arial" w:eastAsia="Arial" w:hAnsi="Arial" w:cs="Arial"/>
                <w:color w:val="000000"/>
                <w:sz w:val="16"/>
              </w:rPr>
              <w:t>(186)</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7BF7F2A5" w14:textId="77777777" w:rsidR="00D0338B" w:rsidRDefault="00D0338B">
            <w:pPr>
              <w:keepNext/>
              <w:jc w:val="right"/>
            </w:pPr>
          </w:p>
        </w:tc>
      </w:tr>
      <w:tr w:rsidR="00D0338B" w14:paraId="0FD27AF5"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04521ED4" w14:textId="77777777" w:rsidR="00D0338B" w:rsidRDefault="00DB7EA0">
            <w:pPr>
              <w:keepNext/>
              <w:ind w:left="225"/>
            </w:pPr>
            <w:r>
              <w:rPr>
                <w:rFonts w:ascii="Arial" w:eastAsia="Arial" w:hAnsi="Arial" w:cs="Arial"/>
                <w:color w:val="000000"/>
                <w:sz w:val="16"/>
              </w:rPr>
              <w:t>Other</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5D755B58" w14:textId="77777777" w:rsidR="00D0338B" w:rsidRDefault="00DB7EA0">
            <w:pPr>
              <w:keepNext/>
              <w:jc w:val="right"/>
            </w:pPr>
            <w:r>
              <w:rPr>
                <w:rFonts w:ascii="Arial" w:eastAsia="Arial" w:hAnsi="Arial" w:cs="Arial"/>
                <w:color w:val="000000"/>
                <w:sz w:val="16"/>
              </w:rPr>
              <w:t>17 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7A3E1EE0"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3C336465"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1A9F5B9F" w14:textId="77777777" w:rsidR="00D0338B" w:rsidRDefault="00DB7EA0">
            <w:pPr>
              <w:keepNext/>
              <w:jc w:val="right"/>
            </w:pPr>
            <w:r>
              <w:rPr>
                <w:rFonts w:ascii="Arial" w:eastAsia="Arial" w:hAnsi="Arial" w:cs="Arial"/>
                <w:color w:val="000000"/>
                <w:sz w:val="16"/>
              </w:rPr>
              <w:t>14 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6E8AAFEF"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598C6779"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7A6A6C56" w14:textId="77777777" w:rsidR="00D0338B" w:rsidRDefault="00DB7EA0">
            <w:pPr>
              <w:keepNext/>
              <w:jc w:val="right"/>
            </w:pPr>
            <w:r>
              <w:rPr>
                <w:rFonts w:ascii="Arial" w:eastAsia="Arial" w:hAnsi="Arial" w:cs="Arial"/>
                <w:color w:val="000000"/>
                <w:sz w:val="16"/>
              </w:rPr>
              <w:t>23 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5FCB2836" w14:textId="77777777" w:rsidR="00D0338B" w:rsidRDefault="00D0338B">
            <w:pPr>
              <w:keepNext/>
              <w:jc w:val="right"/>
            </w:pPr>
          </w:p>
        </w:tc>
      </w:tr>
      <w:tr w:rsidR="00D0338B" w14:paraId="5CAF2B81"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18C3CC98" w14:textId="77777777" w:rsidR="00D0338B" w:rsidRDefault="00DB7EA0">
            <w:pPr>
              <w:keepNext/>
              <w:ind w:left="135"/>
            </w:pPr>
            <w:r>
              <w:rPr>
                <w:rFonts w:ascii="Arial" w:eastAsia="Arial" w:hAnsi="Arial" w:cs="Arial"/>
                <w:color w:val="000000"/>
                <w:sz w:val="16"/>
              </w:rPr>
              <w:t>Change in current assets and current liabilities</w:t>
            </w:r>
          </w:p>
        </w:tc>
        <w:tc>
          <w:tcPr>
            <w:tcW w:w="1109" w:type="dxa"/>
            <w:gridSpan w:val="3"/>
            <w:tcBorders>
              <w:top w:val="nil"/>
              <w:left w:val="nil"/>
              <w:bottom w:val="nil"/>
              <w:right w:val="nil"/>
            </w:tcBorders>
            <w:shd w:val="clear" w:color="auto" w:fill="CCEEFF"/>
            <w:tcMar>
              <w:top w:w="0" w:type="dxa"/>
              <w:left w:w="53" w:type="dxa"/>
              <w:bottom w:w="0" w:type="dxa"/>
              <w:right w:w="53" w:type="dxa"/>
            </w:tcMar>
            <w:vAlign w:val="center"/>
          </w:tcPr>
          <w:p w14:paraId="2A8C908D"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D9246F0" w14:textId="77777777" w:rsidR="00D0338B" w:rsidRDefault="00D0338B">
            <w:pPr>
              <w:keepNext/>
            </w:pPr>
          </w:p>
        </w:tc>
        <w:tc>
          <w:tcPr>
            <w:tcW w:w="1109" w:type="dxa"/>
            <w:gridSpan w:val="3"/>
            <w:tcBorders>
              <w:top w:val="nil"/>
              <w:left w:val="nil"/>
              <w:bottom w:val="nil"/>
              <w:right w:val="nil"/>
            </w:tcBorders>
            <w:shd w:val="clear" w:color="auto" w:fill="CCEEFF"/>
            <w:tcMar>
              <w:top w:w="0" w:type="dxa"/>
              <w:left w:w="53" w:type="dxa"/>
              <w:bottom w:w="0" w:type="dxa"/>
              <w:right w:w="53" w:type="dxa"/>
            </w:tcMar>
            <w:vAlign w:val="center"/>
          </w:tcPr>
          <w:p w14:paraId="1FB85D99"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7EEB8C85" w14:textId="77777777" w:rsidR="00D0338B" w:rsidRDefault="00D0338B">
            <w:pPr>
              <w:keepNext/>
            </w:pPr>
          </w:p>
        </w:tc>
        <w:tc>
          <w:tcPr>
            <w:tcW w:w="1247" w:type="dxa"/>
            <w:gridSpan w:val="3"/>
            <w:tcBorders>
              <w:top w:val="nil"/>
              <w:left w:val="nil"/>
              <w:bottom w:val="nil"/>
              <w:right w:val="nil"/>
            </w:tcBorders>
            <w:shd w:val="clear" w:color="auto" w:fill="CCEEFF"/>
            <w:tcMar>
              <w:top w:w="0" w:type="dxa"/>
              <w:left w:w="53" w:type="dxa"/>
              <w:bottom w:w="0" w:type="dxa"/>
              <w:right w:w="53" w:type="dxa"/>
            </w:tcMar>
            <w:vAlign w:val="center"/>
          </w:tcPr>
          <w:p w14:paraId="2D7AD7A2" w14:textId="77777777" w:rsidR="00D0338B" w:rsidRDefault="00D0338B">
            <w:pPr>
              <w:keepNext/>
              <w:jc w:val="right"/>
            </w:pPr>
          </w:p>
        </w:tc>
      </w:tr>
      <w:tr w:rsidR="00D0338B" w14:paraId="1AF0B01C"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4724E2E8" w14:textId="77777777" w:rsidR="00D0338B" w:rsidRDefault="00DB7EA0">
            <w:pPr>
              <w:keepNext/>
              <w:ind w:left="225"/>
            </w:pPr>
            <w:r>
              <w:rPr>
                <w:rFonts w:ascii="Arial" w:eastAsia="Arial" w:hAnsi="Arial" w:cs="Arial"/>
                <w:color w:val="000000"/>
                <w:sz w:val="16"/>
              </w:rPr>
              <w:t>Accounts receivable</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D21BF76" w14:textId="77777777" w:rsidR="00D0338B" w:rsidRDefault="00DB7EA0">
            <w:pPr>
              <w:keepNext/>
              <w:jc w:val="right"/>
            </w:pPr>
            <w:r>
              <w:rPr>
                <w:rFonts w:ascii="Arial" w:eastAsia="Arial" w:hAnsi="Arial" w:cs="Arial"/>
                <w:color w:val="000000"/>
                <w:sz w:val="16"/>
              </w:rPr>
              <w:t>(82)</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42BB0243"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B528980"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871C014" w14:textId="77777777" w:rsidR="00D0338B" w:rsidRDefault="00DB7EA0">
            <w:pPr>
              <w:keepNext/>
              <w:jc w:val="right"/>
            </w:pPr>
            <w:r>
              <w:rPr>
                <w:rFonts w:ascii="Arial" w:eastAsia="Arial" w:hAnsi="Arial" w:cs="Arial"/>
                <w:color w:val="000000"/>
                <w:sz w:val="16"/>
              </w:rPr>
              <w:t>4 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4EE28B2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6401CA88"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33C3C269" w14:textId="77777777" w:rsidR="00D0338B" w:rsidRDefault="00DB7EA0">
            <w:pPr>
              <w:keepNext/>
              <w:jc w:val="right"/>
            </w:pPr>
            <w:r>
              <w:rPr>
                <w:rFonts w:ascii="Arial" w:eastAsia="Arial" w:hAnsi="Arial" w:cs="Arial"/>
                <w:color w:val="000000"/>
                <w:sz w:val="16"/>
              </w:rPr>
              <w:t>28 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78060B69" w14:textId="77777777" w:rsidR="00D0338B" w:rsidRDefault="00D0338B">
            <w:pPr>
              <w:keepNext/>
              <w:jc w:val="right"/>
            </w:pPr>
          </w:p>
        </w:tc>
      </w:tr>
      <w:tr w:rsidR="00D0338B" w14:paraId="72D342F7"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1EA0EA7B" w14:textId="77777777" w:rsidR="00D0338B" w:rsidRDefault="00DB7EA0">
            <w:pPr>
              <w:keepNext/>
              <w:ind w:left="225"/>
            </w:pPr>
            <w:r>
              <w:rPr>
                <w:rFonts w:ascii="Arial" w:eastAsia="Arial" w:hAnsi="Arial" w:cs="Arial"/>
                <w:color w:val="000000"/>
                <w:sz w:val="16"/>
              </w:rPr>
              <w:t>Accounts payable</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1E502F07" w14:textId="77777777" w:rsidR="00D0338B" w:rsidRDefault="00DB7EA0">
            <w:pPr>
              <w:keepNext/>
              <w:jc w:val="right"/>
            </w:pPr>
            <w:r>
              <w:rPr>
                <w:rFonts w:ascii="Arial" w:eastAsia="Arial" w:hAnsi="Arial" w:cs="Arial"/>
                <w:color w:val="000000"/>
                <w:sz w:val="16"/>
              </w:rPr>
              <w:t>10 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0528D7D1"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AEC3037"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220265CE" w14:textId="77777777" w:rsidR="00D0338B" w:rsidRDefault="00DB7EA0">
            <w:pPr>
              <w:keepNext/>
              <w:jc w:val="right"/>
            </w:pPr>
            <w:r>
              <w:rPr>
                <w:rFonts w:ascii="Arial" w:eastAsia="Arial" w:hAnsi="Arial" w:cs="Arial"/>
                <w:color w:val="000000"/>
                <w:sz w:val="16"/>
              </w:rPr>
              <w:t>(77)</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51084FAD"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46E57065"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6B15B6A5" w14:textId="77777777" w:rsidR="00D0338B" w:rsidRDefault="00DB7EA0">
            <w:pPr>
              <w:keepNext/>
              <w:jc w:val="right"/>
            </w:pPr>
            <w:r>
              <w:rPr>
                <w:rFonts w:ascii="Arial" w:eastAsia="Arial" w:hAnsi="Arial" w:cs="Arial"/>
                <w:color w:val="000000"/>
                <w:sz w:val="16"/>
              </w:rPr>
              <w:t>78 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3B0CBD9F" w14:textId="77777777" w:rsidR="00D0338B" w:rsidRDefault="00D0338B">
            <w:pPr>
              <w:keepNext/>
              <w:jc w:val="right"/>
            </w:pPr>
          </w:p>
        </w:tc>
      </w:tr>
      <w:tr w:rsidR="00D0338B" w14:paraId="7368E664"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2DBD0581" w14:textId="77777777" w:rsidR="00D0338B" w:rsidRDefault="00DB7EA0">
            <w:pPr>
              <w:keepNext/>
              <w:ind w:left="225"/>
            </w:pPr>
            <w:r>
              <w:rPr>
                <w:rFonts w:ascii="Arial" w:eastAsia="Arial" w:hAnsi="Arial" w:cs="Arial"/>
                <w:color w:val="000000"/>
                <w:sz w:val="16"/>
              </w:rPr>
              <w:t>Unbilled revenues</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788DE6F" w14:textId="77777777" w:rsidR="00D0338B" w:rsidRDefault="00DB7EA0">
            <w:pPr>
              <w:keepNext/>
              <w:jc w:val="right"/>
            </w:pPr>
            <w:r>
              <w:rPr>
                <w:rFonts w:ascii="Arial" w:eastAsia="Arial" w:hAnsi="Arial" w:cs="Arial"/>
                <w:color w:val="000000"/>
                <w:sz w:val="16"/>
              </w:rPr>
              <w:t>10 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68CA277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E598DC0"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3C9FC017" w14:textId="77777777" w:rsidR="00D0338B" w:rsidRDefault="00DB7EA0">
            <w:pPr>
              <w:keepNext/>
              <w:jc w:val="right"/>
            </w:pPr>
            <w:r>
              <w:rPr>
                <w:rFonts w:ascii="Arial" w:eastAsia="Arial" w:hAnsi="Arial" w:cs="Arial"/>
                <w:color w:val="000000"/>
                <w:sz w:val="16"/>
              </w:rPr>
              <w:t>(5)</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5798F4D1"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1F4D430"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87CFC3F" w14:textId="77777777" w:rsidR="00D0338B" w:rsidRDefault="00DB7EA0">
            <w:pPr>
              <w:keepNext/>
              <w:jc w:val="right"/>
            </w:pPr>
            <w:r>
              <w:rPr>
                <w:rFonts w:ascii="Arial" w:eastAsia="Arial" w:hAnsi="Arial" w:cs="Arial"/>
                <w:color w:val="000000"/>
                <w:sz w:val="16"/>
              </w:rPr>
              <w:t>41 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7DE5C94F" w14:textId="77777777" w:rsidR="00D0338B" w:rsidRDefault="00D0338B">
            <w:pPr>
              <w:keepNext/>
              <w:jc w:val="right"/>
            </w:pPr>
          </w:p>
        </w:tc>
      </w:tr>
      <w:tr w:rsidR="00D0338B" w14:paraId="1D2930AA"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1A5B6C90" w14:textId="77777777" w:rsidR="00D0338B" w:rsidRDefault="00DB7EA0">
            <w:pPr>
              <w:keepNext/>
              <w:ind w:left="225"/>
            </w:pPr>
            <w:r>
              <w:rPr>
                <w:rFonts w:ascii="Arial" w:eastAsia="Arial" w:hAnsi="Arial" w:cs="Arial"/>
                <w:color w:val="000000"/>
                <w:sz w:val="16"/>
              </w:rPr>
              <w:t>Regulatory assets and liabilities, net</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406088E2" w14:textId="77777777" w:rsidR="00D0338B" w:rsidRDefault="00DB7EA0">
            <w:pPr>
              <w:keepNext/>
              <w:jc w:val="right"/>
            </w:pPr>
            <w:r>
              <w:rPr>
                <w:rFonts w:ascii="Arial" w:eastAsia="Arial" w:hAnsi="Arial" w:cs="Arial"/>
                <w:color w:val="000000"/>
                <w:sz w:val="16"/>
              </w:rPr>
              <w:t>(63)</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52702542"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3352490B"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76C8EC55" w14:textId="77777777" w:rsidR="00D0338B" w:rsidRDefault="00DB7EA0">
            <w:pPr>
              <w:keepNext/>
              <w:jc w:val="right"/>
            </w:pPr>
            <w:r>
              <w:rPr>
                <w:rFonts w:ascii="Arial" w:eastAsia="Arial" w:hAnsi="Arial" w:cs="Arial"/>
                <w:color w:val="000000"/>
                <w:sz w:val="16"/>
              </w:rPr>
              <w:t>(88)</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151F61B5"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FF414B9"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01CBF15A" w14:textId="77777777" w:rsidR="00D0338B" w:rsidRDefault="00DB7EA0">
            <w:pPr>
              <w:keepNext/>
              <w:jc w:val="right"/>
            </w:pPr>
            <w:r>
              <w:rPr>
                <w:rFonts w:ascii="Arial" w:eastAsia="Arial" w:hAnsi="Arial" w:cs="Arial"/>
                <w:color w:val="000000"/>
                <w:sz w:val="16"/>
              </w:rPr>
              <w:t>13 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07F6ABCB" w14:textId="77777777" w:rsidR="00D0338B" w:rsidRDefault="00D0338B">
            <w:pPr>
              <w:keepNext/>
              <w:jc w:val="right"/>
            </w:pPr>
          </w:p>
        </w:tc>
      </w:tr>
      <w:tr w:rsidR="00D0338B" w14:paraId="042CD9AC"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503CB0C8" w14:textId="77777777" w:rsidR="00D0338B" w:rsidRDefault="00DB7EA0">
            <w:pPr>
              <w:keepNext/>
              <w:ind w:left="225"/>
            </w:pPr>
            <w:r>
              <w:rPr>
                <w:rFonts w:ascii="Arial" w:eastAsia="Arial" w:hAnsi="Arial" w:cs="Arial"/>
                <w:color w:val="000000"/>
                <w:sz w:val="16"/>
              </w:rPr>
              <w:t>Other current liabilities</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356BABE" w14:textId="77777777" w:rsidR="00D0338B" w:rsidRDefault="00DB7EA0">
            <w:pPr>
              <w:keepNext/>
              <w:jc w:val="right"/>
            </w:pPr>
            <w:r>
              <w:rPr>
                <w:rFonts w:ascii="Arial" w:eastAsia="Arial" w:hAnsi="Arial" w:cs="Arial"/>
                <w:color w:val="000000"/>
                <w:sz w:val="16"/>
              </w:rPr>
              <w:t>(23)</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7146D127"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4D2C5F8"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5019E39" w14:textId="77777777" w:rsidR="00D0338B" w:rsidRDefault="00DB7EA0">
            <w:pPr>
              <w:keepNext/>
              <w:jc w:val="right"/>
            </w:pPr>
            <w:r>
              <w:rPr>
                <w:rFonts w:ascii="Arial" w:eastAsia="Arial" w:hAnsi="Arial" w:cs="Arial"/>
                <w:color w:val="000000"/>
                <w:sz w:val="16"/>
              </w:rPr>
              <w:t>(73)</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0A1FD677"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027339F9"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1983B56A" w14:textId="77777777" w:rsidR="00D0338B" w:rsidRDefault="00DB7EA0">
            <w:pPr>
              <w:keepNext/>
              <w:jc w:val="right"/>
            </w:pPr>
            <w:r>
              <w:rPr>
                <w:rFonts w:ascii="Arial" w:eastAsia="Arial" w:hAnsi="Arial" w:cs="Arial"/>
                <w:color w:val="000000"/>
                <w:sz w:val="16"/>
              </w:rPr>
              <w:t>(22)</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6CD36093" w14:textId="77777777" w:rsidR="00D0338B" w:rsidRDefault="00D0338B">
            <w:pPr>
              <w:keepNext/>
              <w:jc w:val="right"/>
            </w:pPr>
          </w:p>
        </w:tc>
      </w:tr>
      <w:tr w:rsidR="00D0338B" w14:paraId="27904BE6"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47A74F1C" w14:textId="77777777" w:rsidR="00D0338B" w:rsidRDefault="00DB7EA0">
            <w:pPr>
              <w:keepNext/>
              <w:ind w:left="225"/>
            </w:pPr>
            <w:r>
              <w:rPr>
                <w:rFonts w:ascii="Arial" w:eastAsia="Arial" w:hAnsi="Arial" w:cs="Arial"/>
                <w:color w:val="000000"/>
                <w:sz w:val="16"/>
              </w:rPr>
              <w:t>Other</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7892C4C7" w14:textId="77777777" w:rsidR="00D0338B" w:rsidRDefault="00DB7EA0">
            <w:pPr>
              <w:keepNext/>
              <w:jc w:val="right"/>
            </w:pPr>
            <w:r>
              <w:rPr>
                <w:rFonts w:ascii="Arial" w:eastAsia="Arial" w:hAnsi="Arial" w:cs="Arial"/>
                <w:color w:val="000000"/>
                <w:sz w:val="16"/>
              </w:rPr>
              <w:t>(18)</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3193FDCE"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57C96E3"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67B54E24" w14:textId="77777777" w:rsidR="00D0338B" w:rsidRDefault="00DB7EA0">
            <w:pPr>
              <w:keepNext/>
              <w:jc w:val="right"/>
            </w:pPr>
            <w:r>
              <w:rPr>
                <w:rFonts w:ascii="Arial" w:eastAsia="Arial" w:hAnsi="Arial" w:cs="Arial"/>
                <w:color w:val="000000"/>
                <w:sz w:val="16"/>
              </w:rPr>
              <w:t>(59)</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3183A674"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22956EC8"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59C7C2CD" w14:textId="77777777" w:rsidR="00D0338B" w:rsidRDefault="00DB7EA0">
            <w:pPr>
              <w:keepNext/>
              <w:jc w:val="right"/>
            </w:pPr>
            <w:r>
              <w:rPr>
                <w:rFonts w:ascii="Arial" w:eastAsia="Arial" w:hAnsi="Arial" w:cs="Arial"/>
                <w:color w:val="000000"/>
                <w:sz w:val="16"/>
              </w:rPr>
              <w:t>15 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5F890BA3" w14:textId="77777777" w:rsidR="00D0338B" w:rsidRDefault="00D0338B">
            <w:pPr>
              <w:keepNext/>
              <w:jc w:val="right"/>
            </w:pPr>
          </w:p>
        </w:tc>
      </w:tr>
      <w:tr w:rsidR="00D0338B" w14:paraId="422AEE8E"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65BC8EAB" w14:textId="77777777" w:rsidR="00D0338B" w:rsidRDefault="00DB7EA0">
            <w:pPr>
              <w:keepNext/>
              <w:ind w:left="135"/>
            </w:pPr>
            <w:r>
              <w:rPr>
                <w:rFonts w:ascii="Arial" w:eastAsia="Arial" w:hAnsi="Arial" w:cs="Arial"/>
                <w:color w:val="000000"/>
                <w:sz w:val="16"/>
              </w:rPr>
              <w:t>Other operating activities</w:t>
            </w:r>
          </w:p>
        </w:tc>
        <w:tc>
          <w:tcPr>
            <w:tcW w:w="1109" w:type="dxa"/>
            <w:gridSpan w:val="3"/>
            <w:tcBorders>
              <w:top w:val="nil"/>
              <w:left w:val="nil"/>
              <w:bottom w:val="nil"/>
              <w:right w:val="nil"/>
            </w:tcBorders>
            <w:shd w:val="clear" w:color="auto" w:fill="FFFFFF"/>
            <w:tcMar>
              <w:top w:w="0" w:type="dxa"/>
              <w:left w:w="53" w:type="dxa"/>
              <w:bottom w:w="0" w:type="dxa"/>
              <w:right w:w="53" w:type="dxa"/>
            </w:tcMar>
            <w:vAlign w:val="center"/>
          </w:tcPr>
          <w:p w14:paraId="0DBA2757"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3983F9B1" w14:textId="77777777" w:rsidR="00D0338B" w:rsidRDefault="00D0338B">
            <w:pPr>
              <w:keepNext/>
            </w:pPr>
          </w:p>
        </w:tc>
        <w:tc>
          <w:tcPr>
            <w:tcW w:w="1109" w:type="dxa"/>
            <w:gridSpan w:val="3"/>
            <w:tcBorders>
              <w:top w:val="nil"/>
              <w:left w:val="nil"/>
              <w:bottom w:val="nil"/>
              <w:right w:val="nil"/>
            </w:tcBorders>
            <w:shd w:val="clear" w:color="auto" w:fill="FFFFFF"/>
            <w:tcMar>
              <w:top w:w="0" w:type="dxa"/>
              <w:left w:w="53" w:type="dxa"/>
              <w:bottom w:w="0" w:type="dxa"/>
              <w:right w:w="53" w:type="dxa"/>
            </w:tcMar>
            <w:vAlign w:val="center"/>
          </w:tcPr>
          <w:p w14:paraId="170EC0E9"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C0B7AAB" w14:textId="77777777" w:rsidR="00D0338B" w:rsidRDefault="00D0338B">
            <w:pPr>
              <w:keepNext/>
            </w:pPr>
          </w:p>
        </w:tc>
        <w:tc>
          <w:tcPr>
            <w:tcW w:w="1247" w:type="dxa"/>
            <w:gridSpan w:val="3"/>
            <w:tcBorders>
              <w:top w:val="nil"/>
              <w:left w:val="nil"/>
              <w:bottom w:val="nil"/>
              <w:right w:val="nil"/>
            </w:tcBorders>
            <w:shd w:val="clear" w:color="auto" w:fill="FFFFFF"/>
            <w:tcMar>
              <w:top w:w="0" w:type="dxa"/>
              <w:left w:w="53" w:type="dxa"/>
              <w:bottom w:w="0" w:type="dxa"/>
              <w:right w:w="53" w:type="dxa"/>
            </w:tcMar>
            <w:vAlign w:val="center"/>
          </w:tcPr>
          <w:p w14:paraId="4F6DCBA9" w14:textId="77777777" w:rsidR="00D0338B" w:rsidRDefault="00D0338B">
            <w:pPr>
              <w:keepNext/>
              <w:jc w:val="right"/>
            </w:pPr>
          </w:p>
        </w:tc>
      </w:tr>
      <w:tr w:rsidR="00D0338B" w14:paraId="2BF3C202"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040EA777" w14:textId="77777777" w:rsidR="00D0338B" w:rsidRDefault="00DB7EA0">
            <w:pPr>
              <w:keepNext/>
              <w:ind w:left="225"/>
            </w:pPr>
            <w:r>
              <w:rPr>
                <w:rFonts w:ascii="Arial" w:eastAsia="Arial" w:hAnsi="Arial" w:cs="Arial"/>
                <w:color w:val="000000"/>
                <w:sz w:val="16"/>
              </w:rPr>
              <w:t>Defined benefit plans - funding</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413B2698" w14:textId="77777777" w:rsidR="00D0338B" w:rsidRDefault="00DB7EA0">
            <w:pPr>
              <w:keepNext/>
              <w:jc w:val="right"/>
            </w:pPr>
            <w:r>
              <w:rPr>
                <w:rFonts w:ascii="Arial" w:eastAsia="Arial" w:hAnsi="Arial" w:cs="Arial"/>
                <w:color w:val="000000"/>
                <w:sz w:val="16"/>
              </w:rPr>
              <w:t>(390)</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15446F10"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7D65641E"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35BED2A7" w14:textId="77777777" w:rsidR="00D0338B" w:rsidRDefault="00DB7EA0">
            <w:pPr>
              <w:keepNext/>
              <w:jc w:val="right"/>
            </w:pPr>
            <w:r>
              <w:rPr>
                <w:rFonts w:ascii="Arial" w:eastAsia="Arial" w:hAnsi="Arial" w:cs="Arial"/>
                <w:color w:val="000000"/>
                <w:sz w:val="16"/>
              </w:rPr>
              <w:t>(350)</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4A41EF7"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5744E2D0"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08BE33C9" w14:textId="77777777" w:rsidR="00D0338B" w:rsidRDefault="00DB7EA0">
            <w:pPr>
              <w:keepNext/>
              <w:jc w:val="right"/>
            </w:pPr>
            <w:r>
              <w:rPr>
                <w:rFonts w:ascii="Arial" w:eastAsia="Arial" w:hAnsi="Arial" w:cs="Arial"/>
                <w:color w:val="000000"/>
                <w:sz w:val="16"/>
              </w:rPr>
              <w:t>(361)</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03D560EB" w14:textId="77777777" w:rsidR="00D0338B" w:rsidRDefault="00D0338B">
            <w:pPr>
              <w:keepNext/>
              <w:jc w:val="right"/>
            </w:pPr>
          </w:p>
        </w:tc>
      </w:tr>
      <w:tr w:rsidR="00D0338B" w14:paraId="01B38F47"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416687C4" w14:textId="77777777" w:rsidR="00D0338B" w:rsidRDefault="00DB7EA0">
            <w:pPr>
              <w:keepNext/>
              <w:ind w:left="225"/>
            </w:pPr>
            <w:r>
              <w:rPr>
                <w:rFonts w:ascii="Arial" w:eastAsia="Arial" w:hAnsi="Arial" w:cs="Arial"/>
                <w:color w:val="000000"/>
                <w:sz w:val="16"/>
              </w:rPr>
              <w:t>Proceeds from transfer of excess benefit plan funds</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15733728" w14:textId="77777777" w:rsidR="00D0338B" w:rsidRDefault="00DB7EA0">
            <w:pPr>
              <w:keepNext/>
              <w:jc w:val="right"/>
            </w:pPr>
            <w:r>
              <w:rPr>
                <w:rFonts w:ascii="Arial" w:eastAsia="Arial" w:hAnsi="Arial" w:cs="Arial"/>
                <w:color w:val="000000"/>
                <w:sz w:val="16"/>
              </w:rPr>
              <w:t>—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0017C1E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A76F351"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306144F1" w14:textId="77777777" w:rsidR="00D0338B" w:rsidRDefault="00DB7EA0">
            <w:pPr>
              <w:keepNext/>
              <w:jc w:val="right"/>
            </w:pPr>
            <w:r>
              <w:rPr>
                <w:rFonts w:ascii="Arial" w:eastAsia="Arial" w:hAnsi="Arial" w:cs="Arial"/>
                <w:color w:val="000000"/>
                <w:sz w:val="16"/>
              </w:rPr>
              <w:t>—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E9EA2DA"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6DA3BBE"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3D32CADB" w14:textId="77777777" w:rsidR="00D0338B" w:rsidRDefault="00DB7EA0">
            <w:pPr>
              <w:keepNext/>
              <w:jc w:val="right"/>
            </w:pPr>
            <w:r>
              <w:rPr>
                <w:rFonts w:ascii="Arial" w:eastAsia="Arial" w:hAnsi="Arial" w:cs="Arial"/>
                <w:color w:val="000000"/>
                <w:sz w:val="16"/>
              </w:rPr>
              <w:t>65 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609CFD70" w14:textId="77777777" w:rsidR="00D0338B" w:rsidRDefault="00D0338B">
            <w:pPr>
              <w:keepNext/>
              <w:jc w:val="right"/>
            </w:pPr>
          </w:p>
        </w:tc>
      </w:tr>
      <w:tr w:rsidR="00D0338B" w14:paraId="55077150"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608C453F" w14:textId="77777777" w:rsidR="00D0338B" w:rsidRDefault="00DB7EA0">
            <w:pPr>
              <w:keepNext/>
              <w:ind w:left="225"/>
            </w:pPr>
            <w:r>
              <w:rPr>
                <w:rFonts w:ascii="Arial" w:eastAsia="Arial" w:hAnsi="Arial" w:cs="Arial"/>
                <w:color w:val="000000"/>
                <w:sz w:val="16"/>
              </w:rPr>
              <w:t>Other</w:t>
            </w:r>
          </w:p>
        </w:tc>
        <w:tc>
          <w:tcPr>
            <w:tcW w:w="1008"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00497369" w14:textId="77777777" w:rsidR="00D0338B" w:rsidRDefault="00DB7EA0">
            <w:pPr>
              <w:keepNext/>
              <w:jc w:val="right"/>
            </w:pPr>
            <w:r>
              <w:rPr>
                <w:rFonts w:ascii="Arial" w:eastAsia="Arial" w:hAnsi="Arial" w:cs="Arial"/>
                <w:color w:val="000000"/>
                <w:sz w:val="16"/>
              </w:rPr>
              <w:t>(24)</w:t>
            </w:r>
          </w:p>
        </w:tc>
        <w:tc>
          <w:tcPr>
            <w:tcW w:w="101"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1CDD2E61"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C4911A9" w14:textId="77777777" w:rsidR="00D0338B" w:rsidRDefault="00D0338B">
            <w:pPr>
              <w:keepNext/>
            </w:pPr>
          </w:p>
        </w:tc>
        <w:tc>
          <w:tcPr>
            <w:tcW w:w="1008"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4A376120" w14:textId="77777777" w:rsidR="00D0338B" w:rsidRDefault="00DB7EA0">
            <w:pPr>
              <w:keepNext/>
              <w:jc w:val="right"/>
            </w:pPr>
            <w:r>
              <w:rPr>
                <w:rFonts w:ascii="Arial" w:eastAsia="Arial" w:hAnsi="Arial" w:cs="Arial"/>
                <w:color w:val="000000"/>
                <w:sz w:val="16"/>
              </w:rPr>
              <w:t>(84)</w:t>
            </w:r>
          </w:p>
        </w:tc>
        <w:tc>
          <w:tcPr>
            <w:tcW w:w="101"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4995F5A5"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8FD9FCC" w14:textId="77777777" w:rsidR="00D0338B" w:rsidRDefault="00D0338B">
            <w:pPr>
              <w:keepNext/>
            </w:pPr>
          </w:p>
        </w:tc>
        <w:tc>
          <w:tcPr>
            <w:tcW w:w="1008"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54E81B51" w14:textId="77777777" w:rsidR="00D0338B" w:rsidRDefault="00DB7EA0">
            <w:pPr>
              <w:keepNext/>
              <w:jc w:val="right"/>
            </w:pPr>
            <w:r>
              <w:rPr>
                <w:rFonts w:ascii="Arial" w:eastAsia="Arial" w:hAnsi="Arial" w:cs="Arial"/>
                <w:color w:val="000000"/>
                <w:sz w:val="16"/>
              </w:rPr>
              <w:t>(35)</w:t>
            </w:r>
          </w:p>
        </w:tc>
        <w:tc>
          <w:tcPr>
            <w:tcW w:w="239"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676CD3D5" w14:textId="77777777" w:rsidR="00D0338B" w:rsidRDefault="00D0338B">
            <w:pPr>
              <w:keepNext/>
              <w:jc w:val="right"/>
            </w:pPr>
          </w:p>
        </w:tc>
      </w:tr>
      <w:tr w:rsidR="00D0338B" w14:paraId="43B1BD21"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1992E939" w14:textId="77777777" w:rsidR="00D0338B" w:rsidRDefault="00DB7EA0">
            <w:pPr>
              <w:keepNext/>
              <w:ind w:left="360"/>
            </w:pPr>
            <w:r>
              <w:rPr>
                <w:rFonts w:ascii="Arial" w:eastAsia="Arial" w:hAnsi="Arial" w:cs="Arial"/>
                <w:color w:val="000000"/>
                <w:sz w:val="16"/>
              </w:rPr>
              <w:t>Net cash provided by operating activities</w:t>
            </w: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3409FD69" w14:textId="77777777" w:rsidR="00D0338B" w:rsidRDefault="00DB7EA0">
            <w:pPr>
              <w:keepNext/>
              <w:jc w:val="right"/>
            </w:pPr>
            <w:r>
              <w:rPr>
                <w:rFonts w:ascii="Arial" w:eastAsia="Arial" w:hAnsi="Arial" w:cs="Arial"/>
                <w:color w:val="000000"/>
                <w:sz w:val="16"/>
              </w:rPr>
              <w:t>2,746 </w:t>
            </w:r>
          </w:p>
        </w:tc>
        <w:tc>
          <w:tcPr>
            <w:tcW w:w="101"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7E4B667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DA76582"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09EE0A91" w14:textId="77777777" w:rsidR="00D0338B" w:rsidRDefault="00DB7EA0">
            <w:pPr>
              <w:keepNext/>
              <w:jc w:val="right"/>
            </w:pPr>
            <w:r>
              <w:rPr>
                <w:rFonts w:ascii="Arial" w:eastAsia="Arial" w:hAnsi="Arial" w:cs="Arial"/>
                <w:color w:val="000000"/>
                <w:sz w:val="16"/>
              </w:rPr>
              <w:t>2,427 </w:t>
            </w:r>
          </w:p>
        </w:tc>
        <w:tc>
          <w:tcPr>
            <w:tcW w:w="101"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0C180417"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061AEAA"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0E766E1A" w14:textId="77777777" w:rsidR="00D0338B" w:rsidRDefault="00DB7EA0">
            <w:pPr>
              <w:keepNext/>
              <w:jc w:val="right"/>
            </w:pPr>
            <w:r>
              <w:rPr>
                <w:rFonts w:ascii="Arial" w:eastAsia="Arial" w:hAnsi="Arial" w:cs="Arial"/>
                <w:color w:val="000000"/>
                <w:sz w:val="16"/>
              </w:rPr>
              <w:t>2,821 </w:t>
            </w:r>
          </w:p>
        </w:tc>
        <w:tc>
          <w:tcPr>
            <w:tcW w:w="239"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706A93B7" w14:textId="77777777" w:rsidR="00D0338B" w:rsidRDefault="00D0338B">
            <w:pPr>
              <w:keepNext/>
              <w:jc w:val="right"/>
            </w:pPr>
          </w:p>
        </w:tc>
      </w:tr>
      <w:tr w:rsidR="00D0338B" w14:paraId="5E610A6B"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14B17953" w14:textId="77777777" w:rsidR="00D0338B" w:rsidRDefault="00DB7EA0">
            <w:pPr>
              <w:keepNext/>
            </w:pPr>
            <w:r>
              <w:rPr>
                <w:rFonts w:ascii="Arial" w:eastAsia="Arial" w:hAnsi="Arial" w:cs="Arial"/>
                <w:b/>
                <w:color w:val="000000"/>
                <w:sz w:val="16"/>
              </w:rPr>
              <w:t>Cash Flows from Investing Activities</w:t>
            </w:r>
          </w:p>
        </w:tc>
        <w:tc>
          <w:tcPr>
            <w:tcW w:w="1109" w:type="dxa"/>
            <w:gridSpan w:val="3"/>
            <w:tcBorders>
              <w:top w:val="single" w:sz="8" w:space="0" w:color="000000"/>
              <w:left w:val="nil"/>
              <w:bottom w:val="nil"/>
              <w:right w:val="nil"/>
            </w:tcBorders>
            <w:shd w:val="clear" w:color="auto" w:fill="CCEEFF"/>
            <w:tcMar>
              <w:top w:w="0" w:type="dxa"/>
              <w:left w:w="53" w:type="dxa"/>
              <w:bottom w:w="0" w:type="dxa"/>
              <w:right w:w="53" w:type="dxa"/>
            </w:tcMar>
            <w:vAlign w:val="center"/>
          </w:tcPr>
          <w:p w14:paraId="778832ED"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3F169CC4" w14:textId="77777777" w:rsidR="00D0338B" w:rsidRDefault="00D0338B">
            <w:pPr>
              <w:keepNext/>
            </w:pPr>
          </w:p>
        </w:tc>
        <w:tc>
          <w:tcPr>
            <w:tcW w:w="1109" w:type="dxa"/>
            <w:gridSpan w:val="3"/>
            <w:tcBorders>
              <w:top w:val="single" w:sz="8" w:space="0" w:color="000000"/>
              <w:left w:val="nil"/>
              <w:bottom w:val="nil"/>
              <w:right w:val="nil"/>
            </w:tcBorders>
            <w:shd w:val="clear" w:color="auto" w:fill="CCEEFF"/>
            <w:tcMar>
              <w:top w:w="0" w:type="dxa"/>
              <w:left w:w="53" w:type="dxa"/>
              <w:bottom w:w="0" w:type="dxa"/>
              <w:right w:w="53" w:type="dxa"/>
            </w:tcMar>
            <w:vAlign w:val="center"/>
          </w:tcPr>
          <w:p w14:paraId="6188EFFB"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5D6B55C9" w14:textId="77777777" w:rsidR="00D0338B" w:rsidRDefault="00D0338B">
            <w:pPr>
              <w:keepNext/>
            </w:pPr>
          </w:p>
        </w:tc>
        <w:tc>
          <w:tcPr>
            <w:tcW w:w="1247" w:type="dxa"/>
            <w:gridSpan w:val="3"/>
            <w:tcBorders>
              <w:top w:val="single" w:sz="8" w:space="0" w:color="000000"/>
              <w:left w:val="nil"/>
              <w:bottom w:val="nil"/>
              <w:right w:val="nil"/>
            </w:tcBorders>
            <w:shd w:val="clear" w:color="auto" w:fill="CCEEFF"/>
            <w:tcMar>
              <w:top w:w="0" w:type="dxa"/>
              <w:left w:w="53" w:type="dxa"/>
              <w:bottom w:w="0" w:type="dxa"/>
              <w:right w:w="53" w:type="dxa"/>
            </w:tcMar>
            <w:vAlign w:val="center"/>
          </w:tcPr>
          <w:p w14:paraId="79C6E58B" w14:textId="77777777" w:rsidR="00D0338B" w:rsidRDefault="00D0338B">
            <w:pPr>
              <w:keepNext/>
              <w:jc w:val="right"/>
            </w:pPr>
          </w:p>
        </w:tc>
      </w:tr>
      <w:tr w:rsidR="00D0338B" w14:paraId="6A91AA9D"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4BD98DB3" w14:textId="77777777" w:rsidR="00D0338B" w:rsidRDefault="00DB7EA0">
            <w:pPr>
              <w:keepNext/>
              <w:ind w:left="135"/>
            </w:pPr>
            <w:r>
              <w:rPr>
                <w:rFonts w:ascii="Arial" w:eastAsia="Arial" w:hAnsi="Arial" w:cs="Arial"/>
                <w:color w:val="000000"/>
                <w:sz w:val="16"/>
              </w:rPr>
              <w:t>Expenditures for property, plant and equipment</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741DFC44" w14:textId="77777777" w:rsidR="00D0338B" w:rsidRDefault="00DB7EA0">
            <w:pPr>
              <w:keepNext/>
              <w:jc w:val="right"/>
            </w:pPr>
            <w:r>
              <w:rPr>
                <w:rFonts w:ascii="Arial" w:eastAsia="Arial" w:hAnsi="Arial" w:cs="Arial"/>
                <w:color w:val="000000"/>
                <w:sz w:val="16"/>
              </w:rPr>
              <w:t>(3,249)</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3D63C0A7"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36E29B90"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E76B56F" w14:textId="77777777" w:rsidR="00D0338B" w:rsidRDefault="00DB7EA0">
            <w:pPr>
              <w:keepNext/>
              <w:jc w:val="right"/>
            </w:pPr>
            <w:r>
              <w:rPr>
                <w:rFonts w:ascii="Arial" w:eastAsia="Arial" w:hAnsi="Arial" w:cs="Arial"/>
                <w:color w:val="000000"/>
                <w:sz w:val="16"/>
              </w:rPr>
              <w:t>(3,083)</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B1B402A"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7F7940C1"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9B6207A" w14:textId="77777777" w:rsidR="00D0338B" w:rsidRDefault="00DB7EA0">
            <w:pPr>
              <w:keepNext/>
              <w:jc w:val="right"/>
            </w:pPr>
            <w:r>
              <w:rPr>
                <w:rFonts w:ascii="Arial" w:eastAsia="Arial" w:hAnsi="Arial" w:cs="Arial"/>
                <w:color w:val="000000"/>
                <w:sz w:val="16"/>
              </w:rPr>
              <w:t>(3,238)</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0B08C59C" w14:textId="77777777" w:rsidR="00D0338B" w:rsidRDefault="00D0338B">
            <w:pPr>
              <w:keepNext/>
              <w:jc w:val="right"/>
            </w:pPr>
          </w:p>
        </w:tc>
      </w:tr>
      <w:tr w:rsidR="00D0338B" w14:paraId="498B94DF"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714B4B08" w14:textId="77777777" w:rsidR="00D0338B" w:rsidRDefault="00DB7EA0">
            <w:pPr>
              <w:keepNext/>
              <w:ind w:left="135"/>
            </w:pPr>
            <w:r>
              <w:rPr>
                <w:rFonts w:ascii="Arial" w:eastAsia="Arial" w:hAnsi="Arial" w:cs="Arial"/>
                <w:color w:val="000000"/>
                <w:sz w:val="16"/>
              </w:rPr>
              <w:t>Purchase of investments</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708A77BA" w14:textId="77777777" w:rsidR="00D0338B" w:rsidRDefault="00DB7EA0">
            <w:pPr>
              <w:keepNext/>
              <w:jc w:val="right"/>
            </w:pPr>
            <w:r>
              <w:rPr>
                <w:rFonts w:ascii="Arial" w:eastAsia="Arial" w:hAnsi="Arial" w:cs="Arial"/>
                <w:color w:val="000000"/>
                <w:sz w:val="16"/>
              </w:rPr>
              <w:t>—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0B20044C"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6519679"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63068901" w14:textId="77777777" w:rsidR="00D0338B" w:rsidRDefault="00DB7EA0">
            <w:pPr>
              <w:keepNext/>
              <w:jc w:val="right"/>
            </w:pPr>
            <w:r>
              <w:rPr>
                <w:rFonts w:ascii="Arial" w:eastAsia="Arial" w:hAnsi="Arial" w:cs="Arial"/>
                <w:color w:val="000000"/>
                <w:sz w:val="16"/>
              </w:rPr>
              <w:t>(55)</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0CC2DE88"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2ADFC1DA"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651C95BF" w14:textId="77777777" w:rsidR="00D0338B" w:rsidRDefault="00DB7EA0">
            <w:pPr>
              <w:keepNext/>
              <w:jc w:val="right"/>
            </w:pPr>
            <w:r>
              <w:rPr>
                <w:rFonts w:ascii="Arial" w:eastAsia="Arial" w:hAnsi="Arial" w:cs="Arial"/>
                <w:color w:val="000000"/>
                <w:sz w:val="16"/>
              </w:rPr>
              <w:t>(65)</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14A99A27" w14:textId="77777777" w:rsidR="00D0338B" w:rsidRDefault="00D0338B">
            <w:pPr>
              <w:keepNext/>
              <w:jc w:val="right"/>
            </w:pPr>
          </w:p>
        </w:tc>
      </w:tr>
      <w:tr w:rsidR="00D0338B" w14:paraId="50D00E32"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0ADB0C87" w14:textId="77777777" w:rsidR="00D0338B" w:rsidRDefault="00DB7EA0">
            <w:pPr>
              <w:keepNext/>
              <w:ind w:left="135"/>
            </w:pPr>
            <w:r>
              <w:rPr>
                <w:rFonts w:ascii="Arial" w:eastAsia="Arial" w:hAnsi="Arial" w:cs="Arial"/>
                <w:color w:val="000000"/>
                <w:sz w:val="16"/>
              </w:rPr>
              <w:t>Proceeds from sale of investments</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107C3E89" w14:textId="77777777" w:rsidR="00D0338B" w:rsidRDefault="00DB7EA0">
            <w:pPr>
              <w:keepNext/>
              <w:jc w:val="right"/>
            </w:pPr>
            <w:r>
              <w:rPr>
                <w:rFonts w:ascii="Arial" w:eastAsia="Arial" w:hAnsi="Arial" w:cs="Arial"/>
                <w:color w:val="000000"/>
                <w:sz w:val="16"/>
              </w:rPr>
              <w:t>9 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0977B6AF"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50A811CB"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5ABF77C1" w14:textId="77777777" w:rsidR="00D0338B" w:rsidRDefault="00DB7EA0">
            <w:pPr>
              <w:keepNext/>
              <w:jc w:val="right"/>
            </w:pPr>
            <w:r>
              <w:rPr>
                <w:rFonts w:ascii="Arial" w:eastAsia="Arial" w:hAnsi="Arial" w:cs="Arial"/>
                <w:color w:val="000000"/>
                <w:sz w:val="16"/>
              </w:rPr>
              <w:t>69 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7E620D3D"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2A2CD1B"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0AA346AD" w14:textId="77777777" w:rsidR="00D0338B" w:rsidRDefault="00DB7EA0">
            <w:pPr>
              <w:keepNext/>
              <w:jc w:val="right"/>
            </w:pPr>
            <w:r>
              <w:rPr>
                <w:rFonts w:ascii="Arial" w:eastAsia="Arial" w:hAnsi="Arial" w:cs="Arial"/>
                <w:color w:val="000000"/>
                <w:sz w:val="16"/>
              </w:rPr>
              <w:t>6 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34DB015D" w14:textId="77777777" w:rsidR="00D0338B" w:rsidRDefault="00D0338B">
            <w:pPr>
              <w:keepNext/>
              <w:jc w:val="right"/>
            </w:pPr>
          </w:p>
        </w:tc>
      </w:tr>
      <w:tr w:rsidR="00D0338B" w14:paraId="70732AC4"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58BD83F5" w14:textId="77777777" w:rsidR="00D0338B" w:rsidRDefault="00DB7EA0">
            <w:pPr>
              <w:keepNext/>
              <w:ind w:left="135"/>
            </w:pPr>
            <w:r>
              <w:rPr>
                <w:rFonts w:ascii="Arial" w:eastAsia="Arial" w:hAnsi="Arial" w:cs="Arial"/>
                <w:color w:val="000000"/>
                <w:sz w:val="16"/>
              </w:rPr>
              <w:t>Other investing activities</w:t>
            </w:r>
          </w:p>
        </w:tc>
        <w:tc>
          <w:tcPr>
            <w:tcW w:w="1008"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797C2824" w14:textId="77777777" w:rsidR="00D0338B" w:rsidRDefault="00DB7EA0">
            <w:pPr>
              <w:keepNext/>
              <w:jc w:val="right"/>
            </w:pPr>
            <w:r>
              <w:rPr>
                <w:rFonts w:ascii="Arial" w:eastAsia="Arial" w:hAnsi="Arial" w:cs="Arial"/>
                <w:color w:val="000000"/>
                <w:sz w:val="16"/>
              </w:rPr>
              <w:t>(18)</w:t>
            </w:r>
          </w:p>
        </w:tc>
        <w:tc>
          <w:tcPr>
            <w:tcW w:w="101"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2B1CDAA0"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CFBF52F" w14:textId="77777777" w:rsidR="00D0338B" w:rsidRDefault="00D0338B">
            <w:pPr>
              <w:keepNext/>
            </w:pPr>
          </w:p>
        </w:tc>
        <w:tc>
          <w:tcPr>
            <w:tcW w:w="1008"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38F9C35F" w14:textId="77777777" w:rsidR="00D0338B" w:rsidRDefault="00DB7EA0">
            <w:pPr>
              <w:keepNext/>
              <w:jc w:val="right"/>
            </w:pPr>
            <w:r>
              <w:rPr>
                <w:rFonts w:ascii="Arial" w:eastAsia="Arial" w:hAnsi="Arial" w:cs="Arial"/>
                <w:color w:val="000000"/>
                <w:sz w:val="16"/>
              </w:rPr>
              <w:t>(11)</w:t>
            </w:r>
          </w:p>
        </w:tc>
        <w:tc>
          <w:tcPr>
            <w:tcW w:w="101"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60C8EF4C"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7912402" w14:textId="77777777" w:rsidR="00D0338B" w:rsidRDefault="00D0338B">
            <w:pPr>
              <w:keepNext/>
            </w:pPr>
          </w:p>
        </w:tc>
        <w:tc>
          <w:tcPr>
            <w:tcW w:w="1008" w:type="dxa"/>
            <w:gridSpan w:val="2"/>
            <w:tcBorders>
              <w:top w:val="nil"/>
              <w:left w:val="nil"/>
              <w:bottom w:val="single" w:sz="8" w:space="0" w:color="000000"/>
              <w:right w:val="nil"/>
            </w:tcBorders>
            <w:shd w:val="clear" w:color="auto" w:fill="CCEEFF"/>
            <w:tcMar>
              <w:top w:w="0" w:type="dxa"/>
              <w:left w:w="53" w:type="dxa"/>
              <w:bottom w:w="0" w:type="dxa"/>
              <w:right w:w="0" w:type="dxa"/>
            </w:tcMar>
            <w:vAlign w:val="center"/>
          </w:tcPr>
          <w:p w14:paraId="361F1BB2" w14:textId="77777777" w:rsidR="00D0338B" w:rsidRDefault="00DB7EA0">
            <w:pPr>
              <w:keepNext/>
              <w:jc w:val="right"/>
            </w:pPr>
            <w:r>
              <w:rPr>
                <w:rFonts w:ascii="Arial" w:eastAsia="Arial" w:hAnsi="Arial" w:cs="Arial"/>
                <w:color w:val="000000"/>
                <w:sz w:val="16"/>
              </w:rPr>
              <w:t>(64)</w:t>
            </w:r>
          </w:p>
        </w:tc>
        <w:tc>
          <w:tcPr>
            <w:tcW w:w="239" w:type="dxa"/>
            <w:tcBorders>
              <w:top w:val="nil"/>
              <w:left w:val="nil"/>
              <w:bottom w:val="single" w:sz="8" w:space="0" w:color="000000"/>
              <w:right w:val="nil"/>
            </w:tcBorders>
            <w:shd w:val="clear" w:color="auto" w:fill="CCEEFF"/>
            <w:tcMar>
              <w:top w:w="0" w:type="dxa"/>
              <w:left w:w="0" w:type="dxa"/>
              <w:bottom w:w="0" w:type="dxa"/>
              <w:right w:w="15" w:type="dxa"/>
            </w:tcMar>
            <w:vAlign w:val="center"/>
          </w:tcPr>
          <w:p w14:paraId="627653A1" w14:textId="77777777" w:rsidR="00D0338B" w:rsidRDefault="00D0338B">
            <w:pPr>
              <w:keepNext/>
              <w:jc w:val="right"/>
            </w:pPr>
          </w:p>
        </w:tc>
      </w:tr>
      <w:tr w:rsidR="00D0338B" w14:paraId="5886C758"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0D3C94E5" w14:textId="77777777" w:rsidR="00D0338B" w:rsidRDefault="00DB7EA0">
            <w:pPr>
              <w:keepNext/>
              <w:ind w:left="360"/>
            </w:pPr>
            <w:r>
              <w:rPr>
                <w:rFonts w:ascii="Arial" w:eastAsia="Arial" w:hAnsi="Arial" w:cs="Arial"/>
                <w:color w:val="000000"/>
                <w:sz w:val="16"/>
              </w:rPr>
              <w:t>Net cash used in investing activities</w:t>
            </w: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6828DA0C" w14:textId="77777777" w:rsidR="00D0338B" w:rsidRDefault="00DB7EA0">
            <w:pPr>
              <w:keepNext/>
              <w:jc w:val="right"/>
            </w:pPr>
            <w:r>
              <w:rPr>
                <w:rFonts w:ascii="Arial" w:eastAsia="Arial" w:hAnsi="Arial" w:cs="Arial"/>
                <w:color w:val="000000"/>
                <w:sz w:val="16"/>
              </w:rPr>
              <w:t>(3,258)</w:t>
            </w:r>
          </w:p>
        </w:tc>
        <w:tc>
          <w:tcPr>
            <w:tcW w:w="101"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0241FBC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386550C5"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21D86DFC" w14:textId="77777777" w:rsidR="00D0338B" w:rsidRDefault="00DB7EA0">
            <w:pPr>
              <w:keepNext/>
              <w:jc w:val="right"/>
            </w:pPr>
            <w:r>
              <w:rPr>
                <w:rFonts w:ascii="Arial" w:eastAsia="Arial" w:hAnsi="Arial" w:cs="Arial"/>
                <w:color w:val="000000"/>
                <w:sz w:val="16"/>
              </w:rPr>
              <w:t>(3,080)</w:t>
            </w:r>
          </w:p>
        </w:tc>
        <w:tc>
          <w:tcPr>
            <w:tcW w:w="101"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070033E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DD469E8"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48EFB136" w14:textId="77777777" w:rsidR="00D0338B" w:rsidRDefault="00DB7EA0">
            <w:pPr>
              <w:keepNext/>
              <w:jc w:val="right"/>
            </w:pPr>
            <w:r>
              <w:rPr>
                <w:rFonts w:ascii="Arial" w:eastAsia="Arial" w:hAnsi="Arial" w:cs="Arial"/>
                <w:color w:val="000000"/>
                <w:sz w:val="16"/>
              </w:rPr>
              <w:t>(3,361)</w:t>
            </w:r>
          </w:p>
        </w:tc>
        <w:tc>
          <w:tcPr>
            <w:tcW w:w="239"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2E6E4CD8" w14:textId="77777777" w:rsidR="00D0338B" w:rsidRDefault="00D0338B">
            <w:pPr>
              <w:keepNext/>
              <w:jc w:val="right"/>
            </w:pPr>
          </w:p>
        </w:tc>
      </w:tr>
      <w:tr w:rsidR="00D0338B" w14:paraId="4D6C1D30"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459A62BF" w14:textId="77777777" w:rsidR="00D0338B" w:rsidRDefault="00DB7EA0">
            <w:pPr>
              <w:keepNext/>
            </w:pPr>
            <w:r>
              <w:rPr>
                <w:rFonts w:ascii="Arial" w:eastAsia="Arial" w:hAnsi="Arial" w:cs="Arial"/>
                <w:b/>
                <w:color w:val="000000"/>
                <w:sz w:val="16"/>
              </w:rPr>
              <w:t>Cash Flows from Financing Activities</w:t>
            </w:r>
          </w:p>
        </w:tc>
        <w:tc>
          <w:tcPr>
            <w:tcW w:w="1109" w:type="dxa"/>
            <w:gridSpan w:val="3"/>
            <w:tcBorders>
              <w:top w:val="single" w:sz="8" w:space="0" w:color="000000"/>
              <w:left w:val="nil"/>
              <w:bottom w:val="nil"/>
              <w:right w:val="nil"/>
            </w:tcBorders>
            <w:shd w:val="clear" w:color="auto" w:fill="CCEEFF"/>
            <w:tcMar>
              <w:top w:w="0" w:type="dxa"/>
              <w:left w:w="53" w:type="dxa"/>
              <w:bottom w:w="0" w:type="dxa"/>
              <w:right w:w="53" w:type="dxa"/>
            </w:tcMar>
            <w:vAlign w:val="center"/>
          </w:tcPr>
          <w:p w14:paraId="4ECB02D1"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5D37E610" w14:textId="77777777" w:rsidR="00D0338B" w:rsidRDefault="00D0338B">
            <w:pPr>
              <w:keepNext/>
            </w:pPr>
          </w:p>
        </w:tc>
        <w:tc>
          <w:tcPr>
            <w:tcW w:w="1109" w:type="dxa"/>
            <w:gridSpan w:val="3"/>
            <w:tcBorders>
              <w:top w:val="single" w:sz="8" w:space="0" w:color="000000"/>
              <w:left w:val="nil"/>
              <w:bottom w:val="nil"/>
              <w:right w:val="nil"/>
            </w:tcBorders>
            <w:shd w:val="clear" w:color="auto" w:fill="CCEEFF"/>
            <w:tcMar>
              <w:top w:w="0" w:type="dxa"/>
              <w:left w:w="53" w:type="dxa"/>
              <w:bottom w:w="0" w:type="dxa"/>
              <w:right w:w="53" w:type="dxa"/>
            </w:tcMar>
            <w:vAlign w:val="center"/>
          </w:tcPr>
          <w:p w14:paraId="4481E15C"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45AF4F54" w14:textId="77777777" w:rsidR="00D0338B" w:rsidRDefault="00D0338B">
            <w:pPr>
              <w:keepNext/>
            </w:pPr>
          </w:p>
        </w:tc>
        <w:tc>
          <w:tcPr>
            <w:tcW w:w="1247" w:type="dxa"/>
            <w:gridSpan w:val="3"/>
            <w:tcBorders>
              <w:top w:val="single" w:sz="8" w:space="0" w:color="000000"/>
              <w:left w:val="nil"/>
              <w:bottom w:val="nil"/>
              <w:right w:val="nil"/>
            </w:tcBorders>
            <w:shd w:val="clear" w:color="auto" w:fill="CCEEFF"/>
            <w:tcMar>
              <w:top w:w="0" w:type="dxa"/>
              <w:left w:w="53" w:type="dxa"/>
              <w:bottom w:w="0" w:type="dxa"/>
              <w:right w:w="53" w:type="dxa"/>
            </w:tcMar>
            <w:vAlign w:val="center"/>
          </w:tcPr>
          <w:p w14:paraId="7183193D" w14:textId="77777777" w:rsidR="00D0338B" w:rsidRDefault="00D0338B">
            <w:pPr>
              <w:keepNext/>
              <w:jc w:val="right"/>
            </w:pPr>
          </w:p>
        </w:tc>
      </w:tr>
      <w:tr w:rsidR="00D0338B" w14:paraId="73232B25"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47A8A729" w14:textId="77777777" w:rsidR="00D0338B" w:rsidRDefault="00DB7EA0">
            <w:pPr>
              <w:keepNext/>
              <w:ind w:left="135"/>
            </w:pPr>
            <w:r>
              <w:rPr>
                <w:rFonts w:ascii="Arial" w:eastAsia="Arial" w:hAnsi="Arial" w:cs="Arial"/>
                <w:color w:val="000000"/>
                <w:sz w:val="16"/>
              </w:rPr>
              <w:t>Issuance of long-term debt</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C2198E0" w14:textId="77777777" w:rsidR="00D0338B" w:rsidRDefault="00DB7EA0">
            <w:pPr>
              <w:keepNext/>
              <w:jc w:val="right"/>
            </w:pPr>
            <w:r>
              <w:rPr>
                <w:rFonts w:ascii="Arial" w:eastAsia="Arial" w:hAnsi="Arial" w:cs="Arial"/>
                <w:color w:val="000000"/>
                <w:sz w:val="16"/>
              </w:rPr>
              <w:t>2,167 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FF2A012"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39F38C16"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F51EEA6" w14:textId="77777777" w:rsidR="00D0338B" w:rsidRDefault="00DB7EA0">
            <w:pPr>
              <w:keepNext/>
              <w:jc w:val="right"/>
            </w:pPr>
            <w:r>
              <w:rPr>
                <w:rFonts w:ascii="Arial" w:eastAsia="Arial" w:hAnsi="Arial" w:cs="Arial"/>
                <w:color w:val="000000"/>
                <w:sz w:val="16"/>
              </w:rPr>
              <w:t>1,465 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53D3B29"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69135A1A"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67478DB" w14:textId="77777777" w:rsidR="00D0338B" w:rsidRDefault="00DB7EA0">
            <w:pPr>
              <w:keepNext/>
              <w:jc w:val="right"/>
            </w:pPr>
            <w:r>
              <w:rPr>
                <w:rFonts w:ascii="Arial" w:eastAsia="Arial" w:hAnsi="Arial" w:cs="Arial"/>
                <w:color w:val="000000"/>
                <w:sz w:val="16"/>
              </w:rPr>
              <w:t>1,059 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5D4D2221" w14:textId="77777777" w:rsidR="00D0338B" w:rsidRDefault="00D0338B">
            <w:pPr>
              <w:keepNext/>
              <w:jc w:val="right"/>
            </w:pPr>
          </w:p>
        </w:tc>
      </w:tr>
      <w:tr w:rsidR="00D0338B" w14:paraId="6C70A005"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273B1E82" w14:textId="77777777" w:rsidR="00D0338B" w:rsidRDefault="00DB7EA0">
            <w:pPr>
              <w:keepNext/>
              <w:ind w:left="135"/>
            </w:pPr>
            <w:r>
              <w:rPr>
                <w:rFonts w:ascii="Arial" w:eastAsia="Arial" w:hAnsi="Arial" w:cs="Arial"/>
                <w:color w:val="000000"/>
                <w:sz w:val="16"/>
              </w:rPr>
              <w:t>Retirement of long-term debt</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220E22A4" w14:textId="77777777" w:rsidR="00D0338B" w:rsidRDefault="00DB7EA0">
            <w:pPr>
              <w:keepNext/>
              <w:jc w:val="right"/>
            </w:pPr>
            <w:r>
              <w:rPr>
                <w:rFonts w:ascii="Arial" w:eastAsia="Arial" w:hAnsi="Arial" w:cs="Arial"/>
                <w:color w:val="000000"/>
                <w:sz w:val="16"/>
              </w:rPr>
              <w:t>(1,172)</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1353B703"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DA0A1DE"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666E88D4" w14:textId="77777777" w:rsidR="00D0338B" w:rsidRDefault="00DB7EA0">
            <w:pPr>
              <w:keepNext/>
              <w:jc w:val="right"/>
            </w:pPr>
            <w:r>
              <w:rPr>
                <w:rFonts w:ascii="Arial" w:eastAsia="Arial" w:hAnsi="Arial" w:cs="Arial"/>
                <w:color w:val="000000"/>
                <w:sz w:val="16"/>
              </w:rPr>
              <w:t>(300)</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39841C49"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C3DEC3F"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0E9CEA8E" w14:textId="77777777" w:rsidR="00D0338B" w:rsidRDefault="00DB7EA0">
            <w:pPr>
              <w:keepNext/>
              <w:jc w:val="right"/>
            </w:pPr>
            <w:r>
              <w:rPr>
                <w:rFonts w:ascii="Arial" w:eastAsia="Arial" w:hAnsi="Arial" w:cs="Arial"/>
                <w:color w:val="000000"/>
                <w:sz w:val="16"/>
              </w:rPr>
              <w:t>(277)</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34DF0FDF" w14:textId="77777777" w:rsidR="00D0338B" w:rsidRDefault="00D0338B">
            <w:pPr>
              <w:keepNext/>
              <w:jc w:val="right"/>
            </w:pPr>
          </w:p>
        </w:tc>
      </w:tr>
      <w:tr w:rsidR="00D0338B" w14:paraId="230A114D"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37B7E0FE" w14:textId="77777777" w:rsidR="00D0338B" w:rsidRDefault="00DB7EA0">
            <w:pPr>
              <w:keepNext/>
              <w:ind w:left="135"/>
            </w:pPr>
            <w:r>
              <w:rPr>
                <w:rFonts w:ascii="Arial" w:eastAsia="Arial" w:hAnsi="Arial" w:cs="Arial"/>
                <w:color w:val="000000"/>
                <w:sz w:val="16"/>
              </w:rPr>
              <w:t>Proceeds from project financing</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43F4FCF" w14:textId="77777777" w:rsidR="00D0338B" w:rsidRDefault="00DB7EA0">
            <w:pPr>
              <w:keepNext/>
              <w:jc w:val="right"/>
            </w:pPr>
            <w:r>
              <w:rPr>
                <w:rFonts w:ascii="Arial" w:eastAsia="Arial" w:hAnsi="Arial" w:cs="Arial"/>
                <w:color w:val="000000"/>
                <w:sz w:val="16"/>
              </w:rPr>
              <w:t>173 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2BE58261"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EC79656"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9DF2593" w14:textId="77777777" w:rsidR="00D0338B" w:rsidRDefault="00DB7EA0">
            <w:pPr>
              <w:keepNext/>
              <w:jc w:val="right"/>
            </w:pPr>
            <w:r>
              <w:rPr>
                <w:rFonts w:ascii="Arial" w:eastAsia="Arial" w:hAnsi="Arial" w:cs="Arial"/>
                <w:color w:val="000000"/>
                <w:sz w:val="16"/>
              </w:rPr>
              <w:t>—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30B16B6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172BABE"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4972E0D1" w14:textId="77777777" w:rsidR="00D0338B" w:rsidRDefault="00DB7EA0">
            <w:pPr>
              <w:keepNext/>
              <w:jc w:val="right"/>
            </w:pPr>
            <w:r>
              <w:rPr>
                <w:rFonts w:ascii="Arial" w:eastAsia="Arial" w:hAnsi="Arial" w:cs="Arial"/>
                <w:color w:val="000000"/>
                <w:sz w:val="16"/>
              </w:rPr>
              <w:t>—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57278AF1" w14:textId="77777777" w:rsidR="00D0338B" w:rsidRDefault="00D0338B">
            <w:pPr>
              <w:keepNext/>
              <w:jc w:val="right"/>
            </w:pPr>
          </w:p>
        </w:tc>
      </w:tr>
      <w:tr w:rsidR="00D0338B" w14:paraId="57981430"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544670F7" w14:textId="77777777" w:rsidR="00D0338B" w:rsidRDefault="00DB7EA0">
            <w:pPr>
              <w:keepNext/>
              <w:ind w:left="135"/>
            </w:pPr>
            <w:r>
              <w:rPr>
                <w:rFonts w:ascii="Arial" w:eastAsia="Arial" w:hAnsi="Arial" w:cs="Arial"/>
                <w:color w:val="000000"/>
                <w:sz w:val="16"/>
              </w:rPr>
              <w:t>Issuance of common stock</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2D68A433" w14:textId="77777777" w:rsidR="00D0338B" w:rsidRDefault="00DB7EA0">
            <w:pPr>
              <w:keepNext/>
              <w:jc w:val="right"/>
            </w:pPr>
            <w:r>
              <w:rPr>
                <w:rFonts w:ascii="Arial" w:eastAsia="Arial" w:hAnsi="Arial" w:cs="Arial"/>
                <w:color w:val="000000"/>
                <w:sz w:val="16"/>
              </w:rPr>
              <w:t>34 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227004A8"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3E6F697D"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532EACB0" w14:textId="77777777" w:rsidR="00D0338B" w:rsidRDefault="00DB7EA0">
            <w:pPr>
              <w:keepNext/>
              <w:jc w:val="right"/>
            </w:pPr>
            <w:r>
              <w:rPr>
                <w:rFonts w:ascii="Arial" w:eastAsia="Arial" w:hAnsi="Arial" w:cs="Arial"/>
                <w:color w:val="000000"/>
                <w:sz w:val="16"/>
              </w:rPr>
              <w:t>1,167 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40A3B255"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2FD2AE9"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25642A27" w14:textId="77777777" w:rsidR="00D0338B" w:rsidRDefault="00DB7EA0">
            <w:pPr>
              <w:keepNext/>
              <w:jc w:val="right"/>
            </w:pPr>
            <w:r>
              <w:rPr>
                <w:rFonts w:ascii="Arial" w:eastAsia="Arial" w:hAnsi="Arial" w:cs="Arial"/>
                <w:color w:val="000000"/>
                <w:sz w:val="16"/>
              </w:rPr>
              <w:t>698 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0EB1D72A" w14:textId="77777777" w:rsidR="00D0338B" w:rsidRDefault="00D0338B">
            <w:pPr>
              <w:keepNext/>
              <w:jc w:val="right"/>
            </w:pPr>
          </w:p>
        </w:tc>
      </w:tr>
      <w:tr w:rsidR="00D0338B" w14:paraId="1931F30F"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004B5C8B" w14:textId="77777777" w:rsidR="00D0338B" w:rsidRDefault="00DB7EA0">
            <w:pPr>
              <w:keepNext/>
              <w:ind w:left="135"/>
            </w:pPr>
            <w:r>
              <w:rPr>
                <w:rFonts w:ascii="Arial" w:eastAsia="Arial" w:hAnsi="Arial" w:cs="Arial"/>
                <w:color w:val="000000"/>
                <w:sz w:val="16"/>
              </w:rPr>
              <w:t>Payment of common stock dividends</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629F192" w14:textId="77777777" w:rsidR="00D0338B" w:rsidRDefault="00DB7EA0">
            <w:pPr>
              <w:keepNext/>
              <w:jc w:val="right"/>
            </w:pPr>
            <w:r>
              <w:rPr>
                <w:rFonts w:ascii="Arial" w:eastAsia="Arial" w:hAnsi="Arial" w:cs="Arial"/>
                <w:color w:val="000000"/>
                <w:sz w:val="16"/>
              </w:rPr>
              <w:t>(1,275)</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72256D44"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0DDC244"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76726837" w14:textId="77777777" w:rsidR="00D0338B" w:rsidRDefault="00DB7EA0">
            <w:pPr>
              <w:keepNext/>
              <w:jc w:val="right"/>
            </w:pPr>
            <w:r>
              <w:rPr>
                <w:rFonts w:ascii="Arial" w:eastAsia="Arial" w:hAnsi="Arial" w:cs="Arial"/>
                <w:color w:val="000000"/>
                <w:sz w:val="16"/>
              </w:rPr>
              <w:t>(1,192)</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E150B0E"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855E257" w14:textId="77777777" w:rsidR="00D0338B" w:rsidRDefault="00D0338B">
            <w:pPr>
              <w:keepNex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01D8FDAC" w14:textId="77777777" w:rsidR="00D0338B" w:rsidRDefault="00DB7EA0">
            <w:pPr>
              <w:keepNext/>
              <w:jc w:val="right"/>
            </w:pPr>
            <w:r>
              <w:rPr>
                <w:rFonts w:ascii="Arial" w:eastAsia="Arial" w:hAnsi="Arial" w:cs="Arial"/>
                <w:color w:val="000000"/>
                <w:sz w:val="16"/>
              </w:rPr>
              <w:t>(1,133)</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7C886FB2" w14:textId="77777777" w:rsidR="00D0338B" w:rsidRDefault="00D0338B">
            <w:pPr>
              <w:keepNext/>
              <w:jc w:val="right"/>
            </w:pPr>
          </w:p>
        </w:tc>
      </w:tr>
      <w:tr w:rsidR="00D0338B" w14:paraId="2940EF29"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2C464684" w14:textId="77777777" w:rsidR="00D0338B" w:rsidRDefault="00DB7EA0">
            <w:pPr>
              <w:keepNext/>
              <w:ind w:left="135"/>
            </w:pPr>
            <w:r>
              <w:rPr>
                <w:rFonts w:ascii="Arial" w:eastAsia="Arial" w:hAnsi="Arial" w:cs="Arial"/>
                <w:color w:val="000000"/>
                <w:sz w:val="16"/>
              </w:rPr>
              <w:t>Issuance of term loan</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1F0BF50C" w14:textId="77777777" w:rsidR="00D0338B" w:rsidRDefault="00DB7EA0">
            <w:pPr>
              <w:keepNext/>
              <w:jc w:val="right"/>
            </w:pPr>
            <w:r>
              <w:rPr>
                <w:rFonts w:ascii="Arial" w:eastAsia="Arial" w:hAnsi="Arial" w:cs="Arial"/>
                <w:color w:val="000000"/>
                <w:sz w:val="16"/>
              </w:rPr>
              <w:t>300 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28C47E97"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539274C"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4CA54A2D" w14:textId="77777777" w:rsidR="00D0338B" w:rsidRDefault="00DB7EA0">
            <w:pPr>
              <w:keepNext/>
              <w:jc w:val="right"/>
            </w:pPr>
            <w:r>
              <w:rPr>
                <w:rFonts w:ascii="Arial" w:eastAsia="Arial" w:hAnsi="Arial" w:cs="Arial"/>
                <w:color w:val="000000"/>
                <w:sz w:val="16"/>
              </w:rPr>
              <w:t>—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C1B89B2"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477E5A57"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555C8C01" w14:textId="77777777" w:rsidR="00D0338B" w:rsidRDefault="00DB7EA0">
            <w:pPr>
              <w:keepNext/>
              <w:jc w:val="right"/>
            </w:pPr>
            <w:r>
              <w:rPr>
                <w:rFonts w:ascii="Arial" w:eastAsia="Arial" w:hAnsi="Arial" w:cs="Arial"/>
                <w:color w:val="000000"/>
                <w:sz w:val="16"/>
              </w:rPr>
              <w:t>—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5A73D861" w14:textId="77777777" w:rsidR="00D0338B" w:rsidRDefault="00D0338B">
            <w:pPr>
              <w:keepNext/>
              <w:jc w:val="right"/>
            </w:pPr>
          </w:p>
        </w:tc>
      </w:tr>
      <w:tr w:rsidR="00D0338B" w14:paraId="4745CF1C"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3B23BD47" w14:textId="77777777" w:rsidR="00D0338B" w:rsidRDefault="00DB7EA0">
            <w:pPr>
              <w:keepNext/>
              <w:ind w:left="135"/>
            </w:pPr>
            <w:r>
              <w:rPr>
                <w:rFonts w:ascii="Arial" w:eastAsia="Arial" w:hAnsi="Arial" w:cs="Arial"/>
                <w:color w:val="000000"/>
                <w:sz w:val="16"/>
              </w:rPr>
              <w:t>Issuance of commercial paper</w:t>
            </w: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65212E46" w14:textId="77777777" w:rsidR="00D0338B" w:rsidRDefault="00DB7EA0">
            <w:pPr>
              <w:keepNext/>
              <w:jc w:val="right"/>
            </w:pPr>
            <w:r>
              <w:rPr>
                <w:rFonts w:ascii="Arial" w:eastAsia="Arial" w:hAnsi="Arial" w:cs="Arial"/>
                <w:color w:val="000000"/>
                <w:sz w:val="16"/>
              </w:rPr>
              <w:t>73 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44F91955" w14:textId="77777777" w:rsidR="00D0338B" w:rsidRDefault="00D0338B">
            <w:pPr>
              <w:keepNext/>
              <w:jc w:val="right"/>
            </w:pPr>
          </w:p>
        </w:tc>
        <w:tc>
          <w:tcPr>
            <w:tcW w:w="113" w:type="dxa"/>
            <w:tcBorders>
              <w:top w:val="nil"/>
              <w:left w:val="nil"/>
              <w:bottom w:val="nil"/>
              <w:right w:val="nil"/>
            </w:tcBorders>
            <w:shd w:val="clear" w:color="auto" w:fill="FFFFFF"/>
            <w:tcMar>
              <w:top w:w="0" w:type="dxa"/>
              <w:left w:w="53" w:type="dxa"/>
              <w:bottom w:w="0" w:type="dxa"/>
              <w:right w:w="53" w:type="dxa"/>
            </w:tcMar>
            <w:vAlign w:val="center"/>
          </w:tcPr>
          <w:p w14:paraId="234DACEB" w14:textId="77777777" w:rsidR="00D0338B" w:rsidRDefault="00D0338B">
            <w:pPr>
              <w:keepNext/>
              <w:jc w:val="righ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75EF8172" w14:textId="77777777" w:rsidR="00D0338B" w:rsidRDefault="00DB7EA0">
            <w:pPr>
              <w:keepNext/>
              <w:jc w:val="right"/>
            </w:pPr>
            <w:r>
              <w:rPr>
                <w:rFonts w:ascii="Arial" w:eastAsia="Arial" w:hAnsi="Arial" w:cs="Arial"/>
                <w:color w:val="000000"/>
                <w:sz w:val="16"/>
              </w:rPr>
              <w:t>—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0045D699" w14:textId="77777777" w:rsidR="00D0338B" w:rsidRDefault="00D0338B">
            <w:pPr>
              <w:keepNext/>
              <w:jc w:val="right"/>
            </w:pPr>
          </w:p>
        </w:tc>
        <w:tc>
          <w:tcPr>
            <w:tcW w:w="113" w:type="dxa"/>
            <w:tcBorders>
              <w:top w:val="nil"/>
              <w:left w:val="nil"/>
              <w:bottom w:val="nil"/>
              <w:right w:val="nil"/>
            </w:tcBorders>
            <w:shd w:val="clear" w:color="auto" w:fill="FFFFFF"/>
            <w:tcMar>
              <w:top w:w="0" w:type="dxa"/>
              <w:left w:w="53" w:type="dxa"/>
              <w:bottom w:w="0" w:type="dxa"/>
              <w:right w:w="53" w:type="dxa"/>
            </w:tcMar>
            <w:vAlign w:val="center"/>
          </w:tcPr>
          <w:p w14:paraId="12465984" w14:textId="77777777" w:rsidR="00D0338B" w:rsidRDefault="00D0338B">
            <w:pPr>
              <w:keepNext/>
              <w:jc w:val="right"/>
            </w:pPr>
          </w:p>
        </w:tc>
        <w:tc>
          <w:tcPr>
            <w:tcW w:w="1008" w:type="dxa"/>
            <w:gridSpan w:val="2"/>
            <w:tcBorders>
              <w:top w:val="nil"/>
              <w:left w:val="nil"/>
              <w:bottom w:val="nil"/>
              <w:right w:val="nil"/>
            </w:tcBorders>
            <w:shd w:val="clear" w:color="auto" w:fill="FFFFFF"/>
            <w:tcMar>
              <w:top w:w="0" w:type="dxa"/>
              <w:left w:w="53" w:type="dxa"/>
              <w:bottom w:w="0" w:type="dxa"/>
              <w:right w:w="0" w:type="dxa"/>
            </w:tcMar>
            <w:vAlign w:val="center"/>
          </w:tcPr>
          <w:p w14:paraId="2FE4DDB2" w14:textId="77777777" w:rsidR="00D0338B" w:rsidRDefault="00DB7EA0">
            <w:pPr>
              <w:keepNext/>
              <w:jc w:val="right"/>
            </w:pPr>
            <w:r>
              <w:rPr>
                <w:rFonts w:ascii="Arial" w:eastAsia="Arial" w:hAnsi="Arial" w:cs="Arial"/>
                <w:color w:val="000000"/>
                <w:sz w:val="16"/>
              </w:rPr>
              <w:t>—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7A19B51B" w14:textId="77777777" w:rsidR="00D0338B" w:rsidRDefault="00D0338B">
            <w:pPr>
              <w:keepNext/>
              <w:jc w:val="right"/>
            </w:pPr>
          </w:p>
        </w:tc>
      </w:tr>
      <w:tr w:rsidR="00D0338B" w14:paraId="14662C9C"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5C273A37" w14:textId="77777777" w:rsidR="00D0338B" w:rsidRDefault="00DB7EA0">
            <w:pPr>
              <w:keepNext/>
              <w:ind w:left="135"/>
            </w:pPr>
            <w:r>
              <w:rPr>
                <w:rFonts w:ascii="Arial" w:eastAsia="Arial" w:hAnsi="Arial" w:cs="Arial"/>
                <w:color w:val="000000"/>
                <w:sz w:val="16"/>
              </w:rPr>
              <w:t>Net increase (decrease) in short-term debt</w:t>
            </w: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67F13009" w14:textId="77777777" w:rsidR="00D0338B" w:rsidRDefault="00DB7EA0">
            <w:pPr>
              <w:keepNext/>
              <w:jc w:val="right"/>
            </w:pPr>
            <w:r>
              <w:rPr>
                <w:rFonts w:ascii="Arial" w:eastAsia="Arial" w:hAnsi="Arial" w:cs="Arial"/>
                <w:color w:val="000000"/>
                <w:sz w:val="16"/>
              </w:rPr>
              <w:t>127 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2ACCC43A"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C90C1AF"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28631D88" w14:textId="77777777" w:rsidR="00D0338B" w:rsidRDefault="00DB7EA0">
            <w:pPr>
              <w:keepNext/>
              <w:jc w:val="right"/>
            </w:pPr>
            <w:r>
              <w:rPr>
                <w:rFonts w:ascii="Arial" w:eastAsia="Arial" w:hAnsi="Arial" w:cs="Arial"/>
                <w:color w:val="000000"/>
                <w:sz w:val="16"/>
              </w:rPr>
              <w:t>(278)</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D70C4C4"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A3995A7" w14:textId="77777777" w:rsidR="00D0338B" w:rsidRDefault="00D0338B">
            <w:pPr>
              <w:keepNext/>
            </w:pPr>
          </w:p>
        </w:tc>
        <w:tc>
          <w:tcPr>
            <w:tcW w:w="1008" w:type="dxa"/>
            <w:gridSpan w:val="2"/>
            <w:tcBorders>
              <w:top w:val="nil"/>
              <w:left w:val="nil"/>
              <w:bottom w:val="nil"/>
              <w:right w:val="nil"/>
            </w:tcBorders>
            <w:shd w:val="clear" w:color="auto" w:fill="CCEEFF"/>
            <w:tcMar>
              <w:top w:w="0" w:type="dxa"/>
              <w:left w:w="53" w:type="dxa"/>
              <w:bottom w:w="0" w:type="dxa"/>
              <w:right w:w="0" w:type="dxa"/>
            </w:tcMar>
            <w:vAlign w:val="center"/>
          </w:tcPr>
          <w:p w14:paraId="3E2F0AA6" w14:textId="77777777" w:rsidR="00D0338B" w:rsidRDefault="00DB7EA0">
            <w:pPr>
              <w:keepNext/>
              <w:jc w:val="right"/>
            </w:pPr>
            <w:r>
              <w:rPr>
                <w:rFonts w:ascii="Arial" w:eastAsia="Arial" w:hAnsi="Arial" w:cs="Arial"/>
                <w:color w:val="000000"/>
                <w:sz w:val="16"/>
              </w:rPr>
              <w:t>363 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2DB85A1F" w14:textId="77777777" w:rsidR="00D0338B" w:rsidRDefault="00D0338B">
            <w:pPr>
              <w:keepNext/>
              <w:jc w:val="right"/>
            </w:pPr>
          </w:p>
        </w:tc>
      </w:tr>
      <w:tr w:rsidR="00D0338B" w14:paraId="17975A69"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2ECA0BE1" w14:textId="77777777" w:rsidR="00D0338B" w:rsidRDefault="00DB7EA0">
            <w:pPr>
              <w:keepNext/>
              <w:ind w:left="135"/>
            </w:pPr>
            <w:r>
              <w:rPr>
                <w:rFonts w:ascii="Arial" w:eastAsia="Arial" w:hAnsi="Arial" w:cs="Arial"/>
                <w:color w:val="000000"/>
                <w:sz w:val="16"/>
              </w:rPr>
              <w:t>Other financing activities</w:t>
            </w:r>
          </w:p>
        </w:tc>
        <w:tc>
          <w:tcPr>
            <w:tcW w:w="1008"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18367ADA" w14:textId="77777777" w:rsidR="00D0338B" w:rsidRDefault="00DB7EA0">
            <w:pPr>
              <w:keepNext/>
              <w:jc w:val="right"/>
            </w:pPr>
            <w:r>
              <w:rPr>
                <w:rFonts w:ascii="Arial" w:eastAsia="Arial" w:hAnsi="Arial" w:cs="Arial"/>
                <w:color w:val="000000"/>
                <w:sz w:val="16"/>
              </w:rPr>
              <w:t>(41)</w:t>
            </w:r>
          </w:p>
        </w:tc>
        <w:tc>
          <w:tcPr>
            <w:tcW w:w="101"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7D13B4F0"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781160C8" w14:textId="77777777" w:rsidR="00D0338B" w:rsidRDefault="00D0338B">
            <w:pPr>
              <w:keepNext/>
            </w:pPr>
          </w:p>
        </w:tc>
        <w:tc>
          <w:tcPr>
            <w:tcW w:w="1008"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4DBAD3C3" w14:textId="77777777" w:rsidR="00D0338B" w:rsidRDefault="00DB7EA0">
            <w:pPr>
              <w:keepNext/>
              <w:jc w:val="right"/>
            </w:pPr>
            <w:r>
              <w:rPr>
                <w:rFonts w:ascii="Arial" w:eastAsia="Arial" w:hAnsi="Arial" w:cs="Arial"/>
                <w:color w:val="000000"/>
                <w:sz w:val="16"/>
              </w:rPr>
              <w:t>(26)</w:t>
            </w:r>
          </w:p>
        </w:tc>
        <w:tc>
          <w:tcPr>
            <w:tcW w:w="101"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135ACA77"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D15FCEB" w14:textId="77777777" w:rsidR="00D0338B" w:rsidRDefault="00D0338B">
            <w:pPr>
              <w:keepNext/>
            </w:pPr>
          </w:p>
        </w:tc>
        <w:tc>
          <w:tcPr>
            <w:tcW w:w="1008"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6F9473FF" w14:textId="77777777" w:rsidR="00D0338B" w:rsidRDefault="00DB7EA0">
            <w:pPr>
              <w:keepNext/>
              <w:jc w:val="right"/>
            </w:pPr>
            <w:r>
              <w:rPr>
                <w:rFonts w:ascii="Arial" w:eastAsia="Arial" w:hAnsi="Arial" w:cs="Arial"/>
                <w:color w:val="000000"/>
                <w:sz w:val="16"/>
              </w:rPr>
              <w:t>(20)</w:t>
            </w:r>
          </w:p>
        </w:tc>
        <w:tc>
          <w:tcPr>
            <w:tcW w:w="239"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2D32F96B" w14:textId="77777777" w:rsidR="00D0338B" w:rsidRDefault="00D0338B">
            <w:pPr>
              <w:keepNext/>
              <w:jc w:val="right"/>
            </w:pPr>
          </w:p>
        </w:tc>
      </w:tr>
      <w:tr w:rsidR="00D0338B" w14:paraId="63408ADB"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24742E23" w14:textId="77777777" w:rsidR="00D0338B" w:rsidRDefault="00DB7EA0">
            <w:pPr>
              <w:keepNext/>
              <w:ind w:left="360"/>
            </w:pPr>
            <w:r>
              <w:rPr>
                <w:rFonts w:ascii="Arial" w:eastAsia="Arial" w:hAnsi="Arial" w:cs="Arial"/>
                <w:color w:val="000000"/>
                <w:sz w:val="16"/>
              </w:rPr>
              <w:t>Net cash provided by financing activities</w:t>
            </w:r>
          </w:p>
        </w:tc>
        <w:tc>
          <w:tcPr>
            <w:tcW w:w="1008"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center"/>
          </w:tcPr>
          <w:p w14:paraId="181AACD7" w14:textId="77777777" w:rsidR="00D0338B" w:rsidRDefault="00DB7EA0">
            <w:pPr>
              <w:keepNext/>
              <w:jc w:val="right"/>
            </w:pPr>
            <w:r>
              <w:rPr>
                <w:rFonts w:ascii="Arial" w:eastAsia="Arial" w:hAnsi="Arial" w:cs="Arial"/>
                <w:color w:val="000000"/>
                <w:sz w:val="16"/>
              </w:rPr>
              <w:t>386 </w:t>
            </w:r>
          </w:p>
        </w:tc>
        <w:tc>
          <w:tcPr>
            <w:tcW w:w="101"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center"/>
          </w:tcPr>
          <w:p w14:paraId="52656974"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178B6D92"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center"/>
          </w:tcPr>
          <w:p w14:paraId="5AF73921" w14:textId="77777777" w:rsidR="00D0338B" w:rsidRDefault="00DB7EA0">
            <w:pPr>
              <w:keepNext/>
              <w:jc w:val="right"/>
            </w:pPr>
            <w:r>
              <w:rPr>
                <w:rFonts w:ascii="Arial" w:eastAsia="Arial" w:hAnsi="Arial" w:cs="Arial"/>
                <w:color w:val="000000"/>
                <w:sz w:val="16"/>
              </w:rPr>
              <w:t>836 </w:t>
            </w:r>
          </w:p>
        </w:tc>
        <w:tc>
          <w:tcPr>
            <w:tcW w:w="101"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center"/>
          </w:tcPr>
          <w:p w14:paraId="59577E94"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C9FDA92"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center"/>
          </w:tcPr>
          <w:p w14:paraId="6B90CE9B" w14:textId="77777777" w:rsidR="00D0338B" w:rsidRDefault="00DB7EA0">
            <w:pPr>
              <w:keepNext/>
              <w:jc w:val="right"/>
            </w:pPr>
            <w:r>
              <w:rPr>
                <w:rFonts w:ascii="Arial" w:eastAsia="Arial" w:hAnsi="Arial" w:cs="Arial"/>
                <w:color w:val="000000"/>
                <w:sz w:val="16"/>
              </w:rPr>
              <w:t>690 </w:t>
            </w:r>
          </w:p>
        </w:tc>
        <w:tc>
          <w:tcPr>
            <w:tcW w:w="239"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center"/>
          </w:tcPr>
          <w:p w14:paraId="2D52F9A9" w14:textId="77777777" w:rsidR="00D0338B" w:rsidRDefault="00D0338B">
            <w:pPr>
              <w:keepNext/>
              <w:jc w:val="right"/>
            </w:pPr>
          </w:p>
        </w:tc>
      </w:tr>
      <w:tr w:rsidR="00D0338B" w14:paraId="4EC3099F"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3E1BD1D2" w14:textId="77777777" w:rsidR="00D0338B" w:rsidRDefault="00DB7EA0">
            <w:pPr>
              <w:keepNext/>
            </w:pPr>
            <w:r>
              <w:rPr>
                <w:rFonts w:ascii="Arial" w:eastAsia="Arial" w:hAnsi="Arial" w:cs="Arial"/>
                <w:b/>
                <w:color w:val="000000"/>
                <w:sz w:val="16"/>
              </w:rPr>
              <w:t>Effect of Exchange Rates on Cash, Cash Equivalents and Restricted Cash</w:t>
            </w: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4C4D2C19" w14:textId="77777777" w:rsidR="00D0338B" w:rsidRDefault="00DB7EA0">
            <w:pPr>
              <w:keepNext/>
              <w:jc w:val="right"/>
            </w:pPr>
            <w:r>
              <w:rPr>
                <w:rFonts w:ascii="Arial" w:eastAsia="Arial" w:hAnsi="Arial" w:cs="Arial"/>
                <w:color w:val="000000"/>
                <w:sz w:val="16"/>
              </w:rPr>
              <w:t>17 </w:t>
            </w:r>
          </w:p>
        </w:tc>
        <w:tc>
          <w:tcPr>
            <w:tcW w:w="101"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47A18782"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AD86A8F"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7B7CABBD" w14:textId="77777777" w:rsidR="00D0338B" w:rsidRDefault="00DB7EA0">
            <w:pPr>
              <w:keepNext/>
              <w:jc w:val="right"/>
            </w:pPr>
            <w:r>
              <w:rPr>
                <w:rFonts w:ascii="Arial" w:eastAsia="Arial" w:hAnsi="Arial" w:cs="Arial"/>
                <w:color w:val="000000"/>
                <w:sz w:val="16"/>
              </w:rPr>
              <w:t>10 </w:t>
            </w:r>
          </w:p>
        </w:tc>
        <w:tc>
          <w:tcPr>
            <w:tcW w:w="101"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78D56FE9"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2F334065" w14:textId="77777777" w:rsidR="00D0338B" w:rsidRDefault="00D0338B">
            <w:pPr>
              <w:keepNext/>
            </w:pPr>
          </w:p>
        </w:tc>
        <w:tc>
          <w:tcPr>
            <w:tcW w:w="1008"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center"/>
          </w:tcPr>
          <w:p w14:paraId="5C3A3B2E" w14:textId="77777777" w:rsidR="00D0338B" w:rsidRDefault="00DB7EA0">
            <w:pPr>
              <w:keepNext/>
              <w:jc w:val="right"/>
            </w:pPr>
            <w:r>
              <w:rPr>
                <w:rFonts w:ascii="Arial" w:eastAsia="Arial" w:hAnsi="Arial" w:cs="Arial"/>
                <w:color w:val="000000"/>
                <w:sz w:val="16"/>
              </w:rPr>
              <w:t>(18)</w:t>
            </w:r>
          </w:p>
        </w:tc>
        <w:tc>
          <w:tcPr>
            <w:tcW w:w="239"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center"/>
          </w:tcPr>
          <w:p w14:paraId="40FD4168" w14:textId="77777777" w:rsidR="00D0338B" w:rsidRDefault="00D0338B">
            <w:pPr>
              <w:keepNext/>
              <w:jc w:val="right"/>
            </w:pPr>
          </w:p>
        </w:tc>
      </w:tr>
      <w:tr w:rsidR="00D0338B" w14:paraId="57007CCE"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2B55069C" w14:textId="77777777" w:rsidR="00D0338B" w:rsidRDefault="00DB7EA0">
            <w:pPr>
              <w:keepNext/>
            </w:pPr>
            <w:r>
              <w:rPr>
                <w:rFonts w:ascii="Arial" w:eastAsia="Arial" w:hAnsi="Arial" w:cs="Arial"/>
                <w:b/>
                <w:color w:val="000000"/>
                <w:sz w:val="16"/>
              </w:rPr>
              <w:t>Net Increase (Decrease) in Cash, Cash Equivalents and Restricted Cash</w:t>
            </w:r>
          </w:p>
        </w:tc>
        <w:tc>
          <w:tcPr>
            <w:tcW w:w="1008"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77EB4D16" w14:textId="77777777" w:rsidR="00D0338B" w:rsidRDefault="00DB7EA0">
            <w:pPr>
              <w:keepNext/>
              <w:jc w:val="right"/>
            </w:pPr>
            <w:r>
              <w:rPr>
                <w:rFonts w:ascii="Arial" w:eastAsia="Arial" w:hAnsi="Arial" w:cs="Arial"/>
                <w:color w:val="000000"/>
                <w:sz w:val="16"/>
              </w:rPr>
              <w:t>(109)</w:t>
            </w:r>
          </w:p>
        </w:tc>
        <w:tc>
          <w:tcPr>
            <w:tcW w:w="101"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18F92A99"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29E3EEC0" w14:textId="77777777" w:rsidR="00D0338B" w:rsidRDefault="00D0338B">
            <w:pPr>
              <w:keepNext/>
            </w:pPr>
          </w:p>
        </w:tc>
        <w:tc>
          <w:tcPr>
            <w:tcW w:w="1008"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284AF3F3" w14:textId="77777777" w:rsidR="00D0338B" w:rsidRDefault="00DB7EA0">
            <w:pPr>
              <w:keepNext/>
              <w:jc w:val="right"/>
            </w:pPr>
            <w:r>
              <w:rPr>
                <w:rFonts w:ascii="Arial" w:eastAsia="Arial" w:hAnsi="Arial" w:cs="Arial"/>
                <w:color w:val="000000"/>
                <w:sz w:val="16"/>
              </w:rPr>
              <w:t>193 </w:t>
            </w:r>
          </w:p>
        </w:tc>
        <w:tc>
          <w:tcPr>
            <w:tcW w:w="101"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5E7D6D98"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0CE24287" w14:textId="77777777" w:rsidR="00D0338B" w:rsidRDefault="00D0338B">
            <w:pPr>
              <w:keepNext/>
            </w:pPr>
          </w:p>
        </w:tc>
        <w:tc>
          <w:tcPr>
            <w:tcW w:w="1008" w:type="dxa"/>
            <w:gridSpan w:val="2"/>
            <w:tcBorders>
              <w:top w:val="single" w:sz="8" w:space="0" w:color="000000"/>
              <w:left w:val="nil"/>
              <w:bottom w:val="nil"/>
              <w:right w:val="nil"/>
            </w:tcBorders>
            <w:shd w:val="clear" w:color="auto" w:fill="CCEEFF"/>
            <w:tcMar>
              <w:top w:w="0" w:type="dxa"/>
              <w:left w:w="53" w:type="dxa"/>
              <w:bottom w:w="0" w:type="dxa"/>
              <w:right w:w="0" w:type="dxa"/>
            </w:tcMar>
            <w:vAlign w:val="center"/>
          </w:tcPr>
          <w:p w14:paraId="5F1EF481" w14:textId="77777777" w:rsidR="00D0338B" w:rsidRDefault="00DB7EA0">
            <w:pPr>
              <w:keepNext/>
              <w:jc w:val="right"/>
            </w:pPr>
            <w:r>
              <w:rPr>
                <w:rFonts w:ascii="Arial" w:eastAsia="Arial" w:hAnsi="Arial" w:cs="Arial"/>
                <w:color w:val="000000"/>
                <w:sz w:val="16"/>
              </w:rPr>
              <w:t>132 </w:t>
            </w:r>
          </w:p>
        </w:tc>
        <w:tc>
          <w:tcPr>
            <w:tcW w:w="239" w:type="dxa"/>
            <w:tcBorders>
              <w:top w:val="single" w:sz="8" w:space="0" w:color="000000"/>
              <w:left w:val="nil"/>
              <w:bottom w:val="nil"/>
              <w:right w:val="nil"/>
            </w:tcBorders>
            <w:shd w:val="clear" w:color="auto" w:fill="CCEEFF"/>
            <w:tcMar>
              <w:top w:w="0" w:type="dxa"/>
              <w:left w:w="0" w:type="dxa"/>
              <w:bottom w:w="0" w:type="dxa"/>
              <w:right w:w="15" w:type="dxa"/>
            </w:tcMar>
            <w:vAlign w:val="center"/>
          </w:tcPr>
          <w:p w14:paraId="4196F34C" w14:textId="77777777" w:rsidR="00D0338B" w:rsidRDefault="00D0338B">
            <w:pPr>
              <w:keepNext/>
              <w:jc w:val="right"/>
            </w:pPr>
          </w:p>
        </w:tc>
      </w:tr>
      <w:tr w:rsidR="00D0338B" w14:paraId="20F22429"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48C0CEA4" w14:textId="77777777" w:rsidR="00D0338B" w:rsidRDefault="00DB7EA0">
            <w:pPr>
              <w:keepNext/>
            </w:pPr>
            <w:r>
              <w:rPr>
                <w:rFonts w:ascii="Arial" w:eastAsia="Arial" w:hAnsi="Arial" w:cs="Arial"/>
                <w:color w:val="000000"/>
                <w:sz w:val="16"/>
              </w:rPr>
              <w:t>Cash, Cash Equivalents and Restricted Cash at Beginning of Period</w:t>
            </w:r>
          </w:p>
        </w:tc>
        <w:tc>
          <w:tcPr>
            <w:tcW w:w="1008"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27C44152" w14:textId="77777777" w:rsidR="00D0338B" w:rsidRDefault="00DB7EA0">
            <w:pPr>
              <w:keepNext/>
              <w:jc w:val="right"/>
            </w:pPr>
            <w:r>
              <w:rPr>
                <w:rFonts w:ascii="Arial" w:eastAsia="Arial" w:hAnsi="Arial" w:cs="Arial"/>
                <w:color w:val="000000"/>
                <w:sz w:val="16"/>
              </w:rPr>
              <w:t>836 </w:t>
            </w:r>
          </w:p>
        </w:tc>
        <w:tc>
          <w:tcPr>
            <w:tcW w:w="101"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2F0AB52A"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8D4E5F2" w14:textId="77777777" w:rsidR="00D0338B" w:rsidRDefault="00D0338B">
            <w:pPr>
              <w:keepNext/>
            </w:pPr>
          </w:p>
        </w:tc>
        <w:tc>
          <w:tcPr>
            <w:tcW w:w="1008"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2A865F04" w14:textId="77777777" w:rsidR="00D0338B" w:rsidRDefault="00DB7EA0">
            <w:pPr>
              <w:keepNext/>
              <w:jc w:val="right"/>
            </w:pPr>
            <w:r>
              <w:rPr>
                <w:rFonts w:ascii="Arial" w:eastAsia="Arial" w:hAnsi="Arial" w:cs="Arial"/>
                <w:color w:val="000000"/>
                <w:sz w:val="16"/>
              </w:rPr>
              <w:t>643 </w:t>
            </w:r>
          </w:p>
        </w:tc>
        <w:tc>
          <w:tcPr>
            <w:tcW w:w="101"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7FF7D7B8"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621BA1AE" w14:textId="77777777" w:rsidR="00D0338B" w:rsidRDefault="00D0338B">
            <w:pPr>
              <w:keepNext/>
            </w:pPr>
          </w:p>
        </w:tc>
        <w:tc>
          <w:tcPr>
            <w:tcW w:w="1008" w:type="dxa"/>
            <w:gridSpan w:val="2"/>
            <w:tcBorders>
              <w:top w:val="nil"/>
              <w:left w:val="nil"/>
              <w:bottom w:val="single" w:sz="8" w:space="0" w:color="000000"/>
              <w:right w:val="nil"/>
            </w:tcBorders>
            <w:shd w:val="clear" w:color="auto" w:fill="FFFFFF"/>
            <w:tcMar>
              <w:top w:w="0" w:type="dxa"/>
              <w:left w:w="53" w:type="dxa"/>
              <w:bottom w:w="0" w:type="dxa"/>
              <w:right w:w="0" w:type="dxa"/>
            </w:tcMar>
            <w:vAlign w:val="center"/>
          </w:tcPr>
          <w:p w14:paraId="59168985" w14:textId="77777777" w:rsidR="00D0338B" w:rsidRDefault="00DB7EA0">
            <w:pPr>
              <w:keepNext/>
              <w:jc w:val="right"/>
            </w:pPr>
            <w:r>
              <w:rPr>
                <w:rFonts w:ascii="Arial" w:eastAsia="Arial" w:hAnsi="Arial" w:cs="Arial"/>
                <w:color w:val="000000"/>
                <w:sz w:val="16"/>
              </w:rPr>
              <w:t>511 </w:t>
            </w:r>
          </w:p>
        </w:tc>
        <w:tc>
          <w:tcPr>
            <w:tcW w:w="239" w:type="dxa"/>
            <w:tcBorders>
              <w:top w:val="nil"/>
              <w:left w:val="nil"/>
              <w:bottom w:val="single" w:sz="8" w:space="0" w:color="000000"/>
              <w:right w:val="nil"/>
            </w:tcBorders>
            <w:shd w:val="clear" w:color="auto" w:fill="FFFFFF"/>
            <w:tcMar>
              <w:top w:w="0" w:type="dxa"/>
              <w:left w:w="0" w:type="dxa"/>
              <w:bottom w:w="0" w:type="dxa"/>
              <w:right w:w="15" w:type="dxa"/>
            </w:tcMar>
            <w:vAlign w:val="center"/>
          </w:tcPr>
          <w:p w14:paraId="50A69014" w14:textId="77777777" w:rsidR="00D0338B" w:rsidRDefault="00D0338B">
            <w:pPr>
              <w:keepNext/>
              <w:jc w:val="right"/>
            </w:pPr>
          </w:p>
        </w:tc>
      </w:tr>
      <w:tr w:rsidR="00D0338B" w14:paraId="617AEA7E"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04620B05" w14:textId="77777777" w:rsidR="00D0338B" w:rsidRDefault="00DB7EA0">
            <w:pPr>
              <w:keepNext/>
            </w:pPr>
            <w:r>
              <w:rPr>
                <w:rFonts w:ascii="Arial" w:eastAsia="Arial" w:hAnsi="Arial" w:cs="Arial"/>
                <w:color w:val="000000"/>
                <w:sz w:val="16"/>
              </w:rPr>
              <w:t>Cash, Cash Equivalents and Restricted Cash at End of Period</w:t>
            </w:r>
          </w:p>
        </w:tc>
        <w:tc>
          <w:tcPr>
            <w:tcW w:w="162"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404D754A" w14:textId="77777777" w:rsidR="00D0338B" w:rsidRDefault="00DB7EA0">
            <w:pPr>
              <w:keepNext/>
            </w:pPr>
            <w:r>
              <w:rPr>
                <w:rFonts w:ascii="Arial" w:eastAsia="Arial" w:hAnsi="Arial" w:cs="Arial"/>
                <w:color w:val="000000"/>
                <w:sz w:val="16"/>
              </w:rPr>
              <w:t>$</w:t>
            </w:r>
          </w:p>
        </w:tc>
        <w:tc>
          <w:tcPr>
            <w:tcW w:w="846"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769973BE" w14:textId="77777777" w:rsidR="00D0338B" w:rsidRDefault="00DB7EA0">
            <w:pPr>
              <w:keepNext/>
              <w:jc w:val="right"/>
            </w:pPr>
            <w:r>
              <w:rPr>
                <w:rFonts w:ascii="Arial" w:eastAsia="Arial" w:hAnsi="Arial" w:cs="Arial"/>
                <w:color w:val="000000"/>
                <w:sz w:val="16"/>
              </w:rPr>
              <w:t>727 </w:t>
            </w:r>
          </w:p>
        </w:tc>
        <w:tc>
          <w:tcPr>
            <w:tcW w:w="101"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77FA3462"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54B89740" w14:textId="77777777" w:rsidR="00D0338B" w:rsidRDefault="00D0338B">
            <w:pPr>
              <w:keepNext/>
            </w:pPr>
          </w:p>
        </w:tc>
        <w:tc>
          <w:tcPr>
            <w:tcW w:w="162"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488F51A2" w14:textId="77777777" w:rsidR="00D0338B" w:rsidRDefault="00DB7EA0">
            <w:pPr>
              <w:keepNext/>
            </w:pPr>
            <w:r>
              <w:rPr>
                <w:rFonts w:ascii="Arial" w:eastAsia="Arial" w:hAnsi="Arial" w:cs="Arial"/>
                <w:color w:val="000000"/>
                <w:sz w:val="16"/>
              </w:rPr>
              <w:t>$</w:t>
            </w:r>
          </w:p>
        </w:tc>
        <w:tc>
          <w:tcPr>
            <w:tcW w:w="846"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3D3B9675" w14:textId="77777777" w:rsidR="00D0338B" w:rsidRDefault="00DB7EA0">
            <w:pPr>
              <w:keepNext/>
              <w:jc w:val="right"/>
            </w:pPr>
            <w:r>
              <w:rPr>
                <w:rFonts w:ascii="Arial" w:eastAsia="Arial" w:hAnsi="Arial" w:cs="Arial"/>
                <w:color w:val="000000"/>
                <w:sz w:val="16"/>
              </w:rPr>
              <w:t>836 </w:t>
            </w:r>
          </w:p>
        </w:tc>
        <w:tc>
          <w:tcPr>
            <w:tcW w:w="101"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3207E1D8"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736FDF0D" w14:textId="77777777" w:rsidR="00D0338B" w:rsidRDefault="00D0338B">
            <w:pPr>
              <w:keepNext/>
            </w:pPr>
          </w:p>
        </w:tc>
        <w:tc>
          <w:tcPr>
            <w:tcW w:w="162"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center"/>
          </w:tcPr>
          <w:p w14:paraId="25CCEFC8" w14:textId="77777777" w:rsidR="00D0338B" w:rsidRDefault="00DB7EA0">
            <w:pPr>
              <w:keepNext/>
            </w:pPr>
            <w:r>
              <w:rPr>
                <w:rFonts w:ascii="Arial" w:eastAsia="Arial" w:hAnsi="Arial" w:cs="Arial"/>
                <w:color w:val="000000"/>
                <w:sz w:val="16"/>
              </w:rPr>
              <w:t>$</w:t>
            </w:r>
          </w:p>
        </w:tc>
        <w:tc>
          <w:tcPr>
            <w:tcW w:w="846"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center"/>
          </w:tcPr>
          <w:p w14:paraId="4217A173" w14:textId="77777777" w:rsidR="00D0338B" w:rsidRDefault="00DB7EA0">
            <w:pPr>
              <w:keepNext/>
              <w:jc w:val="right"/>
            </w:pPr>
            <w:r>
              <w:rPr>
                <w:rFonts w:ascii="Arial" w:eastAsia="Arial" w:hAnsi="Arial" w:cs="Arial"/>
                <w:color w:val="000000"/>
                <w:sz w:val="16"/>
              </w:rPr>
              <w:t>643 </w:t>
            </w:r>
          </w:p>
        </w:tc>
        <w:tc>
          <w:tcPr>
            <w:tcW w:w="239"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center"/>
          </w:tcPr>
          <w:p w14:paraId="1F9991CB" w14:textId="77777777" w:rsidR="00D0338B" w:rsidRDefault="00D0338B">
            <w:pPr>
              <w:keepNext/>
              <w:jc w:val="right"/>
            </w:pPr>
          </w:p>
        </w:tc>
      </w:tr>
      <w:tr w:rsidR="00D0338B" w14:paraId="70456A03"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0" w:type="dxa"/>
              <w:bottom w:w="0" w:type="dxa"/>
              <w:right w:w="0" w:type="dxa"/>
            </w:tcMar>
            <w:vAlign w:val="bottom"/>
          </w:tcPr>
          <w:p w14:paraId="4382C422" w14:textId="77777777" w:rsidR="00D0338B" w:rsidRDefault="00D0338B">
            <w:pPr>
              <w:keepNext/>
            </w:pPr>
          </w:p>
        </w:tc>
        <w:tc>
          <w:tcPr>
            <w:tcW w:w="1109" w:type="dxa"/>
            <w:gridSpan w:val="3"/>
            <w:tcBorders>
              <w:top w:val="double" w:sz="8" w:space="0" w:color="000000"/>
              <w:left w:val="nil"/>
              <w:bottom w:val="nil"/>
              <w:right w:val="nil"/>
            </w:tcBorders>
            <w:shd w:val="clear" w:color="auto" w:fill="FFFFFF"/>
            <w:tcMar>
              <w:top w:w="0" w:type="dxa"/>
              <w:left w:w="53" w:type="dxa"/>
              <w:bottom w:w="0" w:type="dxa"/>
              <w:right w:w="53" w:type="dxa"/>
            </w:tcMar>
            <w:vAlign w:val="center"/>
          </w:tcPr>
          <w:p w14:paraId="0AAB1676"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608952A1" w14:textId="77777777" w:rsidR="00D0338B" w:rsidRDefault="00D0338B">
            <w:pPr>
              <w:keepNext/>
            </w:pPr>
          </w:p>
        </w:tc>
        <w:tc>
          <w:tcPr>
            <w:tcW w:w="1109" w:type="dxa"/>
            <w:gridSpan w:val="3"/>
            <w:tcBorders>
              <w:top w:val="double" w:sz="8" w:space="0" w:color="000000"/>
              <w:left w:val="nil"/>
              <w:bottom w:val="nil"/>
              <w:right w:val="nil"/>
            </w:tcBorders>
            <w:shd w:val="clear" w:color="auto" w:fill="FFFFFF"/>
            <w:tcMar>
              <w:top w:w="0" w:type="dxa"/>
              <w:left w:w="53" w:type="dxa"/>
              <w:bottom w:w="0" w:type="dxa"/>
              <w:right w:w="53" w:type="dxa"/>
            </w:tcMar>
            <w:vAlign w:val="center"/>
          </w:tcPr>
          <w:p w14:paraId="0F33D94F"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532477FA" w14:textId="77777777" w:rsidR="00D0338B" w:rsidRDefault="00D0338B">
            <w:pPr>
              <w:keepNext/>
            </w:pPr>
          </w:p>
        </w:tc>
        <w:tc>
          <w:tcPr>
            <w:tcW w:w="1247" w:type="dxa"/>
            <w:gridSpan w:val="3"/>
            <w:tcBorders>
              <w:top w:val="double" w:sz="8" w:space="0" w:color="000000"/>
              <w:left w:val="nil"/>
              <w:bottom w:val="nil"/>
              <w:right w:val="nil"/>
            </w:tcBorders>
            <w:shd w:val="clear" w:color="auto" w:fill="FFFFFF"/>
            <w:tcMar>
              <w:top w:w="0" w:type="dxa"/>
              <w:left w:w="53" w:type="dxa"/>
              <w:bottom w:w="0" w:type="dxa"/>
              <w:right w:w="53" w:type="dxa"/>
            </w:tcMar>
            <w:vAlign w:val="center"/>
          </w:tcPr>
          <w:p w14:paraId="391B8837" w14:textId="77777777" w:rsidR="00D0338B" w:rsidRDefault="00D0338B">
            <w:pPr>
              <w:keepNext/>
              <w:jc w:val="right"/>
            </w:pPr>
          </w:p>
        </w:tc>
      </w:tr>
      <w:tr w:rsidR="00D0338B" w14:paraId="02AA29EB"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3200F299" w14:textId="77777777" w:rsidR="00D0338B" w:rsidRDefault="00DB7EA0">
            <w:pPr>
              <w:keepNext/>
              <w:outlineLvl w:val="0"/>
              <w:rPr>
                <w:rFonts w:ascii="Arial" w:eastAsia="Arial" w:hAnsi="Arial" w:cs="Arial"/>
                <w:b/>
                <w:sz w:val="16"/>
              </w:rPr>
            </w:pPr>
            <w:r>
              <w:rPr>
                <w:rFonts w:ascii="Arial" w:eastAsia="Arial" w:hAnsi="Arial" w:cs="Arial"/>
                <w:b/>
                <w:sz w:val="16"/>
              </w:rPr>
              <w:t xml:space="preserve">Supplemental Disclosures of Cash Flow Information </w:t>
            </w:r>
            <w:r>
              <w:rPr>
                <w:rFonts w:ascii="Arial" w:eastAsia="Arial" w:hAnsi="Arial" w:cs="Arial"/>
                <w:b/>
                <w:color w:val="EE2724"/>
                <w:sz w:val="16"/>
              </w:rPr>
              <w:t xml:space="preserve"> </w:t>
            </w:r>
          </w:p>
        </w:tc>
        <w:tc>
          <w:tcPr>
            <w:tcW w:w="1109" w:type="dxa"/>
            <w:gridSpan w:val="3"/>
            <w:tcBorders>
              <w:top w:val="nil"/>
              <w:left w:val="nil"/>
              <w:bottom w:val="nil"/>
              <w:right w:val="nil"/>
            </w:tcBorders>
            <w:shd w:val="clear" w:color="auto" w:fill="CCEEFF"/>
            <w:tcMar>
              <w:top w:w="0" w:type="dxa"/>
              <w:left w:w="53" w:type="dxa"/>
              <w:bottom w:w="0" w:type="dxa"/>
              <w:right w:w="15" w:type="dxa"/>
            </w:tcMar>
            <w:vAlign w:val="center"/>
          </w:tcPr>
          <w:p w14:paraId="696794A5" w14:textId="77777777" w:rsidR="00D0338B" w:rsidRDefault="00D0338B">
            <w:pPr>
              <w:keepNex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45BE7F91" w14:textId="77777777" w:rsidR="00D0338B" w:rsidRDefault="00D0338B">
            <w:pPr>
              <w:keepNext/>
            </w:pPr>
          </w:p>
        </w:tc>
        <w:tc>
          <w:tcPr>
            <w:tcW w:w="1109" w:type="dxa"/>
            <w:gridSpan w:val="3"/>
            <w:tcBorders>
              <w:top w:val="nil"/>
              <w:left w:val="nil"/>
              <w:bottom w:val="nil"/>
              <w:right w:val="nil"/>
            </w:tcBorders>
            <w:shd w:val="clear" w:color="auto" w:fill="CCEEFF"/>
            <w:tcMar>
              <w:top w:w="0" w:type="dxa"/>
              <w:left w:w="53" w:type="dxa"/>
              <w:bottom w:w="0" w:type="dxa"/>
              <w:right w:w="15" w:type="dxa"/>
            </w:tcMar>
            <w:vAlign w:val="center"/>
          </w:tcPr>
          <w:p w14:paraId="3830C0A8" w14:textId="77777777" w:rsidR="00D0338B" w:rsidRDefault="00D0338B">
            <w:pPr>
              <w:keepNex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415BC4D9" w14:textId="77777777" w:rsidR="00D0338B" w:rsidRDefault="00D0338B">
            <w:pPr>
              <w:keepNext/>
            </w:pPr>
          </w:p>
        </w:tc>
        <w:tc>
          <w:tcPr>
            <w:tcW w:w="1247" w:type="dxa"/>
            <w:gridSpan w:val="3"/>
            <w:tcBorders>
              <w:top w:val="nil"/>
              <w:left w:val="nil"/>
              <w:bottom w:val="nil"/>
              <w:right w:val="nil"/>
            </w:tcBorders>
            <w:shd w:val="clear" w:color="auto" w:fill="CCEEFF"/>
            <w:tcMar>
              <w:top w:w="0" w:type="dxa"/>
              <w:left w:w="53" w:type="dxa"/>
              <w:bottom w:w="0" w:type="dxa"/>
              <w:right w:w="15" w:type="dxa"/>
            </w:tcMar>
            <w:vAlign w:val="center"/>
          </w:tcPr>
          <w:p w14:paraId="789B8E2C" w14:textId="77777777" w:rsidR="00D0338B" w:rsidRDefault="00D0338B">
            <w:pPr>
              <w:keepNext/>
            </w:pPr>
          </w:p>
        </w:tc>
      </w:tr>
      <w:tr w:rsidR="00D0338B" w14:paraId="10B50D52"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5516E0A1" w14:textId="77777777" w:rsidR="00D0338B" w:rsidRDefault="00DB7EA0">
            <w:pPr>
              <w:keepNext/>
              <w:ind w:left="135"/>
            </w:pPr>
            <w:r>
              <w:rPr>
                <w:rFonts w:ascii="Arial" w:eastAsia="Arial" w:hAnsi="Arial" w:cs="Arial"/>
                <w:color w:val="000000"/>
                <w:sz w:val="16"/>
              </w:rPr>
              <w:t>Cash paid during the period for:</w:t>
            </w:r>
          </w:p>
        </w:tc>
        <w:tc>
          <w:tcPr>
            <w:tcW w:w="1109" w:type="dxa"/>
            <w:gridSpan w:val="3"/>
            <w:tcBorders>
              <w:top w:val="nil"/>
              <w:left w:val="nil"/>
              <w:bottom w:val="nil"/>
              <w:right w:val="nil"/>
            </w:tcBorders>
            <w:shd w:val="clear" w:color="auto" w:fill="FFFFFF"/>
            <w:tcMar>
              <w:top w:w="0" w:type="dxa"/>
              <w:left w:w="53" w:type="dxa"/>
              <w:bottom w:w="0" w:type="dxa"/>
              <w:right w:w="15" w:type="dxa"/>
            </w:tcMar>
            <w:vAlign w:val="center"/>
          </w:tcPr>
          <w:p w14:paraId="69B46C89" w14:textId="77777777" w:rsidR="00D0338B" w:rsidRDefault="00D0338B">
            <w:pPr>
              <w:keepNex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49B4B1C4" w14:textId="77777777" w:rsidR="00D0338B" w:rsidRDefault="00D0338B">
            <w:pPr>
              <w:keepNext/>
            </w:pPr>
          </w:p>
        </w:tc>
        <w:tc>
          <w:tcPr>
            <w:tcW w:w="1109" w:type="dxa"/>
            <w:gridSpan w:val="3"/>
            <w:tcBorders>
              <w:top w:val="nil"/>
              <w:left w:val="nil"/>
              <w:bottom w:val="nil"/>
              <w:right w:val="nil"/>
            </w:tcBorders>
            <w:shd w:val="clear" w:color="auto" w:fill="FFFFFF"/>
            <w:tcMar>
              <w:top w:w="0" w:type="dxa"/>
              <w:left w:w="53" w:type="dxa"/>
              <w:bottom w:w="0" w:type="dxa"/>
              <w:right w:w="15" w:type="dxa"/>
            </w:tcMar>
            <w:vAlign w:val="center"/>
          </w:tcPr>
          <w:p w14:paraId="3414788E" w14:textId="77777777" w:rsidR="00D0338B" w:rsidRDefault="00D0338B">
            <w:pPr>
              <w:keepNex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061BCF3" w14:textId="77777777" w:rsidR="00D0338B" w:rsidRDefault="00D0338B">
            <w:pPr>
              <w:keepNext/>
            </w:pPr>
          </w:p>
        </w:tc>
        <w:tc>
          <w:tcPr>
            <w:tcW w:w="1247" w:type="dxa"/>
            <w:gridSpan w:val="3"/>
            <w:tcBorders>
              <w:top w:val="nil"/>
              <w:left w:val="nil"/>
              <w:bottom w:val="nil"/>
              <w:right w:val="nil"/>
            </w:tcBorders>
            <w:shd w:val="clear" w:color="auto" w:fill="FFFFFF"/>
            <w:tcMar>
              <w:top w:w="0" w:type="dxa"/>
              <w:left w:w="53" w:type="dxa"/>
              <w:bottom w:w="0" w:type="dxa"/>
              <w:right w:w="15" w:type="dxa"/>
            </w:tcMar>
            <w:vAlign w:val="center"/>
          </w:tcPr>
          <w:p w14:paraId="109A7632" w14:textId="77777777" w:rsidR="00D0338B" w:rsidRDefault="00D0338B">
            <w:pPr>
              <w:keepNext/>
            </w:pPr>
          </w:p>
        </w:tc>
      </w:tr>
      <w:tr w:rsidR="00D0338B" w14:paraId="77104F15"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0CCCBC43" w14:textId="77777777" w:rsidR="00D0338B" w:rsidRDefault="00DB7EA0">
            <w:pPr>
              <w:keepNext/>
              <w:ind w:left="225"/>
            </w:pPr>
            <w:r>
              <w:rPr>
                <w:rFonts w:ascii="Arial" w:eastAsia="Arial" w:hAnsi="Arial" w:cs="Arial"/>
                <w:color w:val="000000"/>
                <w:sz w:val="16"/>
              </w:rPr>
              <w:t>Interest - net of amount capitalized</w:t>
            </w: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255F1608"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4BDCF384" w14:textId="3D5FBCDF" w:rsidR="00D0338B" w:rsidRDefault="00DB7EA0">
            <w:pPr>
              <w:keepNext/>
              <w:jc w:val="right"/>
            </w:pPr>
            <w:r>
              <w:rPr>
                <w:rFonts w:ascii="Arial" w:eastAsia="Arial" w:hAnsi="Arial" w:cs="Arial"/>
                <w:color w:val="000000"/>
                <w:sz w:val="16"/>
              </w:rPr>
              <w:t>9</w:t>
            </w:r>
            <w:r w:rsidR="00703392">
              <w:rPr>
                <w:rFonts w:ascii="Arial" w:eastAsia="Arial" w:hAnsi="Arial" w:cs="Arial"/>
                <w:color w:val="000000"/>
                <w:sz w:val="16"/>
              </w:rPr>
              <w:t>3</w:t>
            </w:r>
            <w:r w:rsidR="00DA263E">
              <w:rPr>
                <w:rFonts w:ascii="Arial" w:eastAsia="Arial" w:hAnsi="Arial" w:cs="Arial"/>
                <w:color w:val="000000"/>
                <w:sz w:val="16"/>
              </w:rPr>
              <w:t>9</w:t>
            </w:r>
            <w:r>
              <w:rPr>
                <w:rFonts w:ascii="Arial" w:eastAsia="Arial" w:hAnsi="Arial" w:cs="Arial"/>
                <w:color w:val="000000"/>
                <w:sz w:val="16"/>
              </w:rPr>
              <w:t>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676FB26"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4D8DC5BC" w14:textId="77777777" w:rsidR="00D0338B" w:rsidRDefault="00D0338B">
            <w:pPr>
              <w:keepNext/>
            </w:pP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52E78A8C"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17BB011E" w14:textId="77777777" w:rsidR="00D0338B" w:rsidRDefault="00DB7EA0">
            <w:pPr>
              <w:keepNext/>
              <w:jc w:val="right"/>
            </w:pPr>
            <w:r>
              <w:rPr>
                <w:rFonts w:ascii="Arial" w:eastAsia="Arial" w:hAnsi="Arial" w:cs="Arial"/>
                <w:color w:val="000000"/>
                <w:sz w:val="16"/>
              </w:rPr>
              <w:t>905 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C2690B8"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E8AE537" w14:textId="77777777" w:rsidR="00D0338B" w:rsidRDefault="00D0338B">
            <w:pPr>
              <w:keepNext/>
            </w:pP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61887147"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4A6EAC33" w14:textId="77777777" w:rsidR="00D0338B" w:rsidRDefault="00DB7EA0">
            <w:pPr>
              <w:keepNext/>
              <w:jc w:val="right"/>
            </w:pPr>
            <w:r>
              <w:rPr>
                <w:rFonts w:ascii="Arial" w:eastAsia="Arial" w:hAnsi="Arial" w:cs="Arial"/>
                <w:color w:val="000000"/>
                <w:sz w:val="16"/>
              </w:rPr>
              <w:t>910 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12D10097" w14:textId="77777777" w:rsidR="00D0338B" w:rsidRDefault="00D0338B">
            <w:pPr>
              <w:keepNext/>
              <w:jc w:val="right"/>
            </w:pPr>
          </w:p>
        </w:tc>
      </w:tr>
      <w:tr w:rsidR="00D0338B" w14:paraId="5B5F478F"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47B6DB9A" w14:textId="77777777" w:rsidR="00D0338B" w:rsidRDefault="00DB7EA0">
            <w:pPr>
              <w:keepNext/>
              <w:ind w:left="225"/>
            </w:pPr>
            <w:r>
              <w:rPr>
                <w:rFonts w:ascii="Arial" w:eastAsia="Arial" w:hAnsi="Arial" w:cs="Arial"/>
                <w:color w:val="000000"/>
                <w:sz w:val="16"/>
              </w:rPr>
              <w:t>Income taxes - net</w:t>
            </w:r>
          </w:p>
        </w:tc>
        <w:tc>
          <w:tcPr>
            <w:tcW w:w="162" w:type="dxa"/>
            <w:tcBorders>
              <w:top w:val="nil"/>
              <w:left w:val="nil"/>
              <w:bottom w:val="nil"/>
              <w:right w:val="nil"/>
            </w:tcBorders>
            <w:shd w:val="clear" w:color="auto" w:fill="FFFFFF"/>
            <w:tcMar>
              <w:top w:w="0" w:type="dxa"/>
              <w:left w:w="53" w:type="dxa"/>
              <w:bottom w:w="0" w:type="dxa"/>
              <w:right w:w="0" w:type="dxa"/>
            </w:tcMar>
            <w:vAlign w:val="center"/>
          </w:tcPr>
          <w:p w14:paraId="4D139044"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FFFFFF"/>
            <w:tcMar>
              <w:top w:w="0" w:type="dxa"/>
              <w:left w:w="0" w:type="dxa"/>
              <w:bottom w:w="0" w:type="dxa"/>
              <w:right w:w="0" w:type="dxa"/>
            </w:tcMar>
            <w:vAlign w:val="center"/>
          </w:tcPr>
          <w:p w14:paraId="02925B12" w14:textId="77777777" w:rsidR="00D0338B" w:rsidRDefault="00DB7EA0">
            <w:pPr>
              <w:keepNext/>
              <w:jc w:val="right"/>
            </w:pPr>
            <w:r>
              <w:rPr>
                <w:rFonts w:ascii="Arial" w:eastAsia="Arial" w:hAnsi="Arial" w:cs="Arial"/>
                <w:color w:val="000000"/>
                <w:sz w:val="16"/>
              </w:rPr>
              <w:t>95 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43BC7743"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30382840" w14:textId="77777777" w:rsidR="00D0338B" w:rsidRDefault="00D0338B">
            <w:pPr>
              <w:keepNext/>
            </w:pPr>
          </w:p>
        </w:tc>
        <w:tc>
          <w:tcPr>
            <w:tcW w:w="162" w:type="dxa"/>
            <w:tcBorders>
              <w:top w:val="nil"/>
              <w:left w:val="nil"/>
              <w:bottom w:val="nil"/>
              <w:right w:val="nil"/>
            </w:tcBorders>
            <w:shd w:val="clear" w:color="auto" w:fill="FFFFFF"/>
            <w:tcMar>
              <w:top w:w="0" w:type="dxa"/>
              <w:left w:w="53" w:type="dxa"/>
              <w:bottom w:w="0" w:type="dxa"/>
              <w:right w:w="0" w:type="dxa"/>
            </w:tcMar>
            <w:vAlign w:val="center"/>
          </w:tcPr>
          <w:p w14:paraId="756CE0BC"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FFFFFF"/>
            <w:tcMar>
              <w:top w:w="0" w:type="dxa"/>
              <w:left w:w="0" w:type="dxa"/>
              <w:bottom w:w="0" w:type="dxa"/>
              <w:right w:w="0" w:type="dxa"/>
            </w:tcMar>
            <w:vAlign w:val="center"/>
          </w:tcPr>
          <w:p w14:paraId="6CF6830E" w14:textId="77777777" w:rsidR="00D0338B" w:rsidRDefault="00DB7EA0">
            <w:pPr>
              <w:keepNext/>
              <w:jc w:val="right"/>
            </w:pPr>
            <w:r>
              <w:rPr>
                <w:rFonts w:ascii="Arial" w:eastAsia="Arial" w:hAnsi="Arial" w:cs="Arial"/>
                <w:color w:val="000000"/>
                <w:sz w:val="16"/>
              </w:rPr>
              <w:t>93 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480EAC8B"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75FE1F18" w14:textId="77777777" w:rsidR="00D0338B" w:rsidRDefault="00D0338B">
            <w:pPr>
              <w:keepNext/>
            </w:pPr>
          </w:p>
        </w:tc>
        <w:tc>
          <w:tcPr>
            <w:tcW w:w="162" w:type="dxa"/>
            <w:tcBorders>
              <w:top w:val="nil"/>
              <w:left w:val="nil"/>
              <w:bottom w:val="nil"/>
              <w:right w:val="nil"/>
            </w:tcBorders>
            <w:shd w:val="clear" w:color="auto" w:fill="FFFFFF"/>
            <w:tcMar>
              <w:top w:w="0" w:type="dxa"/>
              <w:left w:w="53" w:type="dxa"/>
              <w:bottom w:w="0" w:type="dxa"/>
              <w:right w:w="0" w:type="dxa"/>
            </w:tcMar>
            <w:vAlign w:val="center"/>
          </w:tcPr>
          <w:p w14:paraId="30FBCA50"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FFFFFF"/>
            <w:tcMar>
              <w:top w:w="0" w:type="dxa"/>
              <w:left w:w="0" w:type="dxa"/>
              <w:bottom w:w="0" w:type="dxa"/>
              <w:right w:w="0" w:type="dxa"/>
            </w:tcMar>
            <w:vAlign w:val="center"/>
          </w:tcPr>
          <w:p w14:paraId="468D3CCC" w14:textId="77777777" w:rsidR="00D0338B" w:rsidRDefault="00DB7EA0">
            <w:pPr>
              <w:keepNext/>
              <w:jc w:val="right"/>
            </w:pPr>
            <w:r>
              <w:rPr>
                <w:rFonts w:ascii="Arial" w:eastAsia="Arial" w:hAnsi="Arial" w:cs="Arial"/>
                <w:color w:val="000000"/>
                <w:sz w:val="16"/>
              </w:rPr>
              <w:t>127 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336240DE" w14:textId="77777777" w:rsidR="00D0338B" w:rsidRDefault="00D0338B">
            <w:pPr>
              <w:keepNext/>
              <w:jc w:val="right"/>
            </w:pPr>
          </w:p>
        </w:tc>
      </w:tr>
      <w:tr w:rsidR="00D0338B" w14:paraId="34DF5936"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71491AA7" w14:textId="77777777" w:rsidR="00D0338B" w:rsidRDefault="00DB7EA0">
            <w:pPr>
              <w:keepNext/>
              <w:ind w:left="135"/>
            </w:pPr>
            <w:r>
              <w:rPr>
                <w:rFonts w:ascii="Arial" w:eastAsia="Arial" w:hAnsi="Arial" w:cs="Arial"/>
                <w:color w:val="000000"/>
                <w:sz w:val="16"/>
              </w:rPr>
              <w:t>Significant non-cash transactions:</w:t>
            </w:r>
          </w:p>
        </w:tc>
        <w:tc>
          <w:tcPr>
            <w:tcW w:w="1109" w:type="dxa"/>
            <w:gridSpan w:val="3"/>
            <w:tcBorders>
              <w:top w:val="nil"/>
              <w:left w:val="nil"/>
              <w:bottom w:val="nil"/>
              <w:right w:val="nil"/>
            </w:tcBorders>
            <w:shd w:val="clear" w:color="auto" w:fill="CCEEFF"/>
            <w:tcMar>
              <w:top w:w="0" w:type="dxa"/>
              <w:left w:w="53" w:type="dxa"/>
              <w:bottom w:w="0" w:type="dxa"/>
              <w:right w:w="53" w:type="dxa"/>
            </w:tcMar>
            <w:vAlign w:val="center"/>
          </w:tcPr>
          <w:p w14:paraId="1C90737A"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CAADE11" w14:textId="77777777" w:rsidR="00D0338B" w:rsidRDefault="00D0338B">
            <w:pPr>
              <w:keepNext/>
            </w:pPr>
          </w:p>
        </w:tc>
        <w:tc>
          <w:tcPr>
            <w:tcW w:w="1109" w:type="dxa"/>
            <w:gridSpan w:val="3"/>
            <w:tcBorders>
              <w:top w:val="nil"/>
              <w:left w:val="nil"/>
              <w:bottom w:val="nil"/>
              <w:right w:val="nil"/>
            </w:tcBorders>
            <w:shd w:val="clear" w:color="auto" w:fill="CCEEFF"/>
            <w:tcMar>
              <w:top w:w="0" w:type="dxa"/>
              <w:left w:w="53" w:type="dxa"/>
              <w:bottom w:w="0" w:type="dxa"/>
              <w:right w:w="53" w:type="dxa"/>
            </w:tcMar>
            <w:vAlign w:val="center"/>
          </w:tcPr>
          <w:p w14:paraId="72162EB4" w14:textId="77777777" w:rsidR="00D0338B" w:rsidRDefault="00D0338B">
            <w:pPr>
              <w:keepNext/>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580AAB65" w14:textId="77777777" w:rsidR="00D0338B" w:rsidRDefault="00D0338B">
            <w:pPr>
              <w:keepNext/>
            </w:pPr>
          </w:p>
        </w:tc>
        <w:tc>
          <w:tcPr>
            <w:tcW w:w="1247" w:type="dxa"/>
            <w:gridSpan w:val="3"/>
            <w:tcBorders>
              <w:top w:val="nil"/>
              <w:left w:val="nil"/>
              <w:bottom w:val="nil"/>
              <w:right w:val="nil"/>
            </w:tcBorders>
            <w:shd w:val="clear" w:color="auto" w:fill="CCEEFF"/>
            <w:tcMar>
              <w:top w:w="0" w:type="dxa"/>
              <w:left w:w="53" w:type="dxa"/>
              <w:bottom w:w="0" w:type="dxa"/>
              <w:right w:w="53" w:type="dxa"/>
            </w:tcMar>
            <w:vAlign w:val="center"/>
          </w:tcPr>
          <w:p w14:paraId="2C5E3336" w14:textId="77777777" w:rsidR="00D0338B" w:rsidRDefault="00D0338B">
            <w:pPr>
              <w:keepNext/>
              <w:jc w:val="right"/>
            </w:pPr>
          </w:p>
        </w:tc>
      </w:tr>
      <w:tr w:rsidR="00D0338B" w14:paraId="3A379BFF" w14:textId="77777777" w:rsidTr="009864DB">
        <w:trPr>
          <w:cantSplit/>
          <w:trHeight w:hRule="exact" w:val="255"/>
          <w:jc w:val="center"/>
        </w:trPr>
        <w:tc>
          <w:tcPr>
            <w:tcW w:w="7065" w:type="dxa"/>
            <w:tcBorders>
              <w:top w:val="nil"/>
              <w:left w:val="nil"/>
              <w:bottom w:val="nil"/>
              <w:right w:val="nil"/>
            </w:tcBorders>
            <w:shd w:val="clear" w:color="auto" w:fill="FFFFFF"/>
            <w:tcMar>
              <w:top w:w="0" w:type="dxa"/>
              <w:left w:w="53" w:type="dxa"/>
              <w:bottom w:w="0" w:type="dxa"/>
              <w:right w:w="53" w:type="dxa"/>
            </w:tcMar>
            <w:vAlign w:val="center"/>
          </w:tcPr>
          <w:p w14:paraId="776E481A" w14:textId="77777777" w:rsidR="00D0338B" w:rsidRDefault="00DB7EA0">
            <w:pPr>
              <w:keepNext/>
              <w:ind w:left="225"/>
            </w:pPr>
            <w:r>
              <w:rPr>
                <w:rFonts w:ascii="Arial" w:eastAsia="Arial" w:hAnsi="Arial" w:cs="Arial"/>
                <w:color w:val="000000"/>
                <w:sz w:val="16"/>
              </w:rPr>
              <w:t xml:space="preserve">Accrued expenditures for property, plant and equipment at December 31, </w:t>
            </w:r>
          </w:p>
        </w:tc>
        <w:tc>
          <w:tcPr>
            <w:tcW w:w="162" w:type="dxa"/>
            <w:tcBorders>
              <w:top w:val="nil"/>
              <w:left w:val="nil"/>
              <w:bottom w:val="nil"/>
              <w:right w:val="nil"/>
            </w:tcBorders>
            <w:shd w:val="clear" w:color="auto" w:fill="FFFFFF"/>
            <w:tcMar>
              <w:top w:w="0" w:type="dxa"/>
              <w:left w:w="53" w:type="dxa"/>
              <w:bottom w:w="0" w:type="dxa"/>
              <w:right w:w="0" w:type="dxa"/>
            </w:tcMar>
            <w:vAlign w:val="center"/>
          </w:tcPr>
          <w:p w14:paraId="5CD10554"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FFFFFF"/>
            <w:tcMar>
              <w:top w:w="0" w:type="dxa"/>
              <w:left w:w="0" w:type="dxa"/>
              <w:bottom w:w="0" w:type="dxa"/>
              <w:right w:w="0" w:type="dxa"/>
            </w:tcMar>
            <w:vAlign w:val="center"/>
          </w:tcPr>
          <w:p w14:paraId="59C65955" w14:textId="77777777" w:rsidR="00D0338B" w:rsidRDefault="00DB7EA0">
            <w:pPr>
              <w:keepNext/>
              <w:jc w:val="right"/>
            </w:pPr>
            <w:r>
              <w:rPr>
                <w:rFonts w:ascii="Arial" w:eastAsia="Arial" w:hAnsi="Arial" w:cs="Arial"/>
                <w:color w:val="000000"/>
                <w:sz w:val="16"/>
              </w:rPr>
              <w:t>319 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295DE859"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12A76957" w14:textId="77777777" w:rsidR="00D0338B" w:rsidRDefault="00D0338B">
            <w:pPr>
              <w:keepNext/>
            </w:pPr>
          </w:p>
        </w:tc>
        <w:tc>
          <w:tcPr>
            <w:tcW w:w="162" w:type="dxa"/>
            <w:tcBorders>
              <w:top w:val="nil"/>
              <w:left w:val="nil"/>
              <w:bottom w:val="nil"/>
              <w:right w:val="nil"/>
            </w:tcBorders>
            <w:shd w:val="clear" w:color="auto" w:fill="FFFFFF"/>
            <w:tcMar>
              <w:top w:w="0" w:type="dxa"/>
              <w:left w:w="53" w:type="dxa"/>
              <w:bottom w:w="0" w:type="dxa"/>
              <w:right w:w="0" w:type="dxa"/>
            </w:tcMar>
            <w:vAlign w:val="center"/>
          </w:tcPr>
          <w:p w14:paraId="3B80DB43"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FFFFFF"/>
            <w:tcMar>
              <w:top w:w="0" w:type="dxa"/>
              <w:left w:w="0" w:type="dxa"/>
              <w:bottom w:w="0" w:type="dxa"/>
              <w:right w:w="0" w:type="dxa"/>
            </w:tcMar>
            <w:vAlign w:val="center"/>
          </w:tcPr>
          <w:p w14:paraId="59687D11" w14:textId="77777777" w:rsidR="00D0338B" w:rsidRDefault="00DB7EA0">
            <w:pPr>
              <w:keepNext/>
              <w:jc w:val="right"/>
            </w:pPr>
            <w:r>
              <w:rPr>
                <w:rFonts w:ascii="Arial" w:eastAsia="Arial" w:hAnsi="Arial" w:cs="Arial"/>
                <w:color w:val="000000"/>
                <w:sz w:val="16"/>
              </w:rPr>
              <w:t>340 </w:t>
            </w:r>
          </w:p>
        </w:tc>
        <w:tc>
          <w:tcPr>
            <w:tcW w:w="101" w:type="dxa"/>
            <w:tcBorders>
              <w:top w:val="nil"/>
              <w:left w:val="nil"/>
              <w:bottom w:val="nil"/>
              <w:right w:val="nil"/>
            </w:tcBorders>
            <w:shd w:val="clear" w:color="auto" w:fill="FFFFFF"/>
            <w:tcMar>
              <w:top w:w="0" w:type="dxa"/>
              <w:left w:w="0" w:type="dxa"/>
              <w:bottom w:w="0" w:type="dxa"/>
              <w:right w:w="15" w:type="dxa"/>
            </w:tcMar>
            <w:vAlign w:val="center"/>
          </w:tcPr>
          <w:p w14:paraId="1892EC51" w14:textId="77777777" w:rsidR="00D0338B" w:rsidRDefault="00D0338B">
            <w:pPr>
              <w:keepNext/>
              <w:jc w:val="right"/>
            </w:pPr>
          </w:p>
        </w:tc>
        <w:tc>
          <w:tcPr>
            <w:tcW w:w="113" w:type="dxa"/>
            <w:tcBorders>
              <w:top w:val="nil"/>
              <w:left w:val="nil"/>
              <w:bottom w:val="nil"/>
              <w:right w:val="nil"/>
            </w:tcBorders>
            <w:shd w:val="clear" w:color="auto" w:fill="FFFFFF"/>
            <w:tcMar>
              <w:top w:w="0" w:type="dxa"/>
              <w:left w:w="0" w:type="dxa"/>
              <w:bottom w:w="0" w:type="dxa"/>
              <w:right w:w="0" w:type="dxa"/>
            </w:tcMar>
            <w:vAlign w:val="bottom"/>
          </w:tcPr>
          <w:p w14:paraId="57808B8F" w14:textId="77777777" w:rsidR="00D0338B" w:rsidRDefault="00D0338B">
            <w:pPr>
              <w:keepNext/>
            </w:pPr>
          </w:p>
        </w:tc>
        <w:tc>
          <w:tcPr>
            <w:tcW w:w="162" w:type="dxa"/>
            <w:tcBorders>
              <w:top w:val="nil"/>
              <w:left w:val="nil"/>
              <w:bottom w:val="nil"/>
              <w:right w:val="nil"/>
            </w:tcBorders>
            <w:shd w:val="clear" w:color="auto" w:fill="FFFFFF"/>
            <w:tcMar>
              <w:top w:w="0" w:type="dxa"/>
              <w:left w:w="53" w:type="dxa"/>
              <w:bottom w:w="0" w:type="dxa"/>
              <w:right w:w="0" w:type="dxa"/>
            </w:tcMar>
            <w:vAlign w:val="center"/>
          </w:tcPr>
          <w:p w14:paraId="7976C643" w14:textId="77777777" w:rsidR="00D0338B" w:rsidRDefault="00DB7EA0">
            <w:pPr>
              <w:keepNext/>
            </w:pPr>
            <w:r>
              <w:rPr>
                <w:rFonts w:ascii="Arial" w:eastAsia="Arial" w:hAnsi="Arial" w:cs="Arial"/>
                <w:color w:val="000000"/>
                <w:sz w:val="16"/>
              </w:rPr>
              <w:t>$</w:t>
            </w:r>
          </w:p>
        </w:tc>
        <w:tc>
          <w:tcPr>
            <w:tcW w:w="846" w:type="dxa"/>
            <w:tcBorders>
              <w:top w:val="nil"/>
              <w:left w:val="nil"/>
              <w:bottom w:val="nil"/>
              <w:right w:val="nil"/>
            </w:tcBorders>
            <w:shd w:val="clear" w:color="auto" w:fill="FFFFFF"/>
            <w:tcMar>
              <w:top w:w="0" w:type="dxa"/>
              <w:left w:w="0" w:type="dxa"/>
              <w:bottom w:w="0" w:type="dxa"/>
              <w:right w:w="0" w:type="dxa"/>
            </w:tcMar>
            <w:vAlign w:val="center"/>
          </w:tcPr>
          <w:p w14:paraId="5CA0E5F5" w14:textId="77777777" w:rsidR="00D0338B" w:rsidRDefault="00DB7EA0">
            <w:pPr>
              <w:keepNext/>
              <w:jc w:val="right"/>
            </w:pPr>
            <w:r>
              <w:rPr>
                <w:rFonts w:ascii="Arial" w:eastAsia="Arial" w:hAnsi="Arial" w:cs="Arial"/>
                <w:color w:val="000000"/>
                <w:sz w:val="16"/>
              </w:rPr>
              <w:t>345 </w:t>
            </w:r>
          </w:p>
        </w:tc>
        <w:tc>
          <w:tcPr>
            <w:tcW w:w="239" w:type="dxa"/>
            <w:tcBorders>
              <w:top w:val="nil"/>
              <w:left w:val="nil"/>
              <w:bottom w:val="nil"/>
              <w:right w:val="nil"/>
            </w:tcBorders>
            <w:shd w:val="clear" w:color="auto" w:fill="FFFFFF"/>
            <w:tcMar>
              <w:top w:w="0" w:type="dxa"/>
              <w:left w:w="0" w:type="dxa"/>
              <w:bottom w:w="0" w:type="dxa"/>
              <w:right w:w="15" w:type="dxa"/>
            </w:tcMar>
            <w:vAlign w:val="center"/>
          </w:tcPr>
          <w:p w14:paraId="23A2DE51" w14:textId="77777777" w:rsidR="00D0338B" w:rsidRDefault="00D0338B">
            <w:pPr>
              <w:keepNext/>
              <w:jc w:val="right"/>
            </w:pPr>
          </w:p>
        </w:tc>
      </w:tr>
      <w:tr w:rsidR="00D0338B" w14:paraId="0FB38713" w14:textId="77777777" w:rsidTr="009864DB">
        <w:trPr>
          <w:cantSplit/>
          <w:trHeight w:hRule="exact" w:val="255"/>
          <w:jc w:val="center"/>
        </w:trPr>
        <w:tc>
          <w:tcPr>
            <w:tcW w:w="7065" w:type="dxa"/>
            <w:tcBorders>
              <w:top w:val="nil"/>
              <w:left w:val="nil"/>
              <w:bottom w:val="nil"/>
              <w:right w:val="nil"/>
            </w:tcBorders>
            <w:shd w:val="clear" w:color="auto" w:fill="CCEEFF"/>
            <w:tcMar>
              <w:top w:w="0" w:type="dxa"/>
              <w:left w:w="53" w:type="dxa"/>
              <w:bottom w:w="0" w:type="dxa"/>
              <w:right w:w="53" w:type="dxa"/>
            </w:tcMar>
            <w:vAlign w:val="center"/>
          </w:tcPr>
          <w:p w14:paraId="026865EC" w14:textId="77777777" w:rsidR="00D0338B" w:rsidRDefault="00DB7EA0">
            <w:pPr>
              <w:ind w:left="225"/>
            </w:pPr>
            <w:r>
              <w:rPr>
                <w:rFonts w:ascii="Arial" w:eastAsia="Arial" w:hAnsi="Arial" w:cs="Arial"/>
                <w:color w:val="000000"/>
                <w:sz w:val="16"/>
              </w:rPr>
              <w:t xml:space="preserve">Accrued expenditures for intangible assets at December 31, </w:t>
            </w:r>
          </w:p>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7A1AD1DE" w14:textId="77777777" w:rsidR="00D0338B" w:rsidRDefault="00DB7EA0">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71F22842" w14:textId="77777777" w:rsidR="00D0338B" w:rsidRDefault="00DB7EA0">
            <w:pPr>
              <w:jc w:val="right"/>
            </w:pPr>
            <w:r>
              <w:rPr>
                <w:rFonts w:ascii="Arial" w:eastAsia="Arial" w:hAnsi="Arial" w:cs="Arial"/>
                <w:color w:val="000000"/>
                <w:sz w:val="16"/>
              </w:rPr>
              <w:t>85 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71FF716C" w14:textId="77777777" w:rsidR="00D0338B" w:rsidRDefault="00D0338B">
            <w:pPr>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6FAF2967" w14:textId="77777777" w:rsidR="00D0338B" w:rsidRDefault="00D0338B"/>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2DD44749" w14:textId="77777777" w:rsidR="00D0338B" w:rsidRDefault="00DB7EA0">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43BF8087" w14:textId="77777777" w:rsidR="00D0338B" w:rsidRDefault="00DB7EA0">
            <w:pPr>
              <w:jc w:val="right"/>
            </w:pPr>
            <w:r>
              <w:rPr>
                <w:rFonts w:ascii="Arial" w:eastAsia="Arial" w:hAnsi="Arial" w:cs="Arial"/>
                <w:color w:val="000000"/>
                <w:sz w:val="16"/>
              </w:rPr>
              <w:t>79 </w:t>
            </w:r>
          </w:p>
        </w:tc>
        <w:tc>
          <w:tcPr>
            <w:tcW w:w="101" w:type="dxa"/>
            <w:tcBorders>
              <w:top w:val="nil"/>
              <w:left w:val="nil"/>
              <w:bottom w:val="nil"/>
              <w:right w:val="nil"/>
            </w:tcBorders>
            <w:shd w:val="clear" w:color="auto" w:fill="CCEEFF"/>
            <w:tcMar>
              <w:top w:w="0" w:type="dxa"/>
              <w:left w:w="0" w:type="dxa"/>
              <w:bottom w:w="0" w:type="dxa"/>
              <w:right w:w="15" w:type="dxa"/>
            </w:tcMar>
            <w:vAlign w:val="center"/>
          </w:tcPr>
          <w:p w14:paraId="24B2A00C" w14:textId="77777777" w:rsidR="00D0338B" w:rsidRDefault="00D0338B">
            <w:pPr>
              <w:jc w:val="right"/>
            </w:pPr>
          </w:p>
        </w:tc>
        <w:tc>
          <w:tcPr>
            <w:tcW w:w="113" w:type="dxa"/>
            <w:tcBorders>
              <w:top w:val="nil"/>
              <w:left w:val="nil"/>
              <w:bottom w:val="nil"/>
              <w:right w:val="nil"/>
            </w:tcBorders>
            <w:shd w:val="clear" w:color="auto" w:fill="CCEEFF"/>
            <w:tcMar>
              <w:top w:w="0" w:type="dxa"/>
              <w:left w:w="0" w:type="dxa"/>
              <w:bottom w:w="0" w:type="dxa"/>
              <w:right w:w="0" w:type="dxa"/>
            </w:tcMar>
            <w:vAlign w:val="bottom"/>
          </w:tcPr>
          <w:p w14:paraId="73B2C080" w14:textId="77777777" w:rsidR="00D0338B" w:rsidRDefault="00D0338B"/>
        </w:tc>
        <w:tc>
          <w:tcPr>
            <w:tcW w:w="162" w:type="dxa"/>
            <w:tcBorders>
              <w:top w:val="nil"/>
              <w:left w:val="nil"/>
              <w:bottom w:val="nil"/>
              <w:right w:val="nil"/>
            </w:tcBorders>
            <w:shd w:val="clear" w:color="auto" w:fill="CCEEFF"/>
            <w:tcMar>
              <w:top w:w="0" w:type="dxa"/>
              <w:left w:w="53" w:type="dxa"/>
              <w:bottom w:w="0" w:type="dxa"/>
              <w:right w:w="0" w:type="dxa"/>
            </w:tcMar>
            <w:vAlign w:val="center"/>
          </w:tcPr>
          <w:p w14:paraId="2B8FEE08" w14:textId="77777777" w:rsidR="00D0338B" w:rsidRDefault="00DB7EA0">
            <w:r>
              <w:rPr>
                <w:rFonts w:ascii="Arial" w:eastAsia="Arial" w:hAnsi="Arial" w:cs="Arial"/>
                <w:color w:val="000000"/>
                <w:sz w:val="16"/>
              </w:rPr>
              <w:t>$</w:t>
            </w:r>
          </w:p>
        </w:tc>
        <w:tc>
          <w:tcPr>
            <w:tcW w:w="846" w:type="dxa"/>
            <w:tcBorders>
              <w:top w:val="nil"/>
              <w:left w:val="nil"/>
              <w:bottom w:val="nil"/>
              <w:right w:val="nil"/>
            </w:tcBorders>
            <w:shd w:val="clear" w:color="auto" w:fill="CCEEFF"/>
            <w:tcMar>
              <w:top w:w="0" w:type="dxa"/>
              <w:left w:w="0" w:type="dxa"/>
              <w:bottom w:w="0" w:type="dxa"/>
              <w:right w:w="0" w:type="dxa"/>
            </w:tcMar>
            <w:vAlign w:val="center"/>
          </w:tcPr>
          <w:p w14:paraId="4BAB6260" w14:textId="77777777" w:rsidR="00D0338B" w:rsidRDefault="00DB7EA0">
            <w:pPr>
              <w:jc w:val="right"/>
            </w:pPr>
            <w:r>
              <w:rPr>
                <w:rFonts w:ascii="Arial" w:eastAsia="Arial" w:hAnsi="Arial" w:cs="Arial"/>
                <w:color w:val="000000"/>
                <w:sz w:val="16"/>
              </w:rPr>
              <w:t>64 </w:t>
            </w:r>
          </w:p>
        </w:tc>
        <w:tc>
          <w:tcPr>
            <w:tcW w:w="239" w:type="dxa"/>
            <w:tcBorders>
              <w:top w:val="nil"/>
              <w:left w:val="nil"/>
              <w:bottom w:val="nil"/>
              <w:right w:val="nil"/>
            </w:tcBorders>
            <w:shd w:val="clear" w:color="auto" w:fill="CCEEFF"/>
            <w:tcMar>
              <w:top w:w="0" w:type="dxa"/>
              <w:left w:w="0" w:type="dxa"/>
              <w:bottom w:w="0" w:type="dxa"/>
              <w:right w:w="15" w:type="dxa"/>
            </w:tcMar>
            <w:vAlign w:val="center"/>
          </w:tcPr>
          <w:p w14:paraId="08E9E2EE" w14:textId="77777777" w:rsidR="00D0338B" w:rsidRDefault="00D0338B">
            <w:pPr>
              <w:jc w:val="right"/>
            </w:pPr>
          </w:p>
        </w:tc>
      </w:tr>
    </w:tbl>
    <w:p w14:paraId="58E97639" w14:textId="77777777" w:rsidR="00D0338B" w:rsidRDefault="00D0338B">
      <w:pPr>
        <w:keepLines/>
        <w:widowControl w:val="0"/>
        <w:spacing w:before="100" w:line="288" w:lineRule="auto"/>
        <w:jc w:val="center"/>
        <w:sectPr w:rsidR="00D0338B">
          <w:pgSz w:w="12240" w:h="15840"/>
          <w:pgMar w:top="720" w:right="720" w:bottom="720" w:left="1080" w:header="270" w:footer="270" w:gutter="0"/>
          <w:cols w:space="708"/>
        </w:sect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161"/>
        <w:gridCol w:w="903"/>
        <w:gridCol w:w="159"/>
        <w:gridCol w:w="76"/>
        <w:gridCol w:w="161"/>
        <w:gridCol w:w="903"/>
        <w:gridCol w:w="159"/>
      </w:tblGrid>
      <w:tr w:rsidR="00D0338B" w14:paraId="58079A0B" w14:textId="77777777">
        <w:trPr>
          <w:cantSplit/>
          <w:trHeight w:hRule="exact" w:val="255"/>
          <w:jc w:val="center"/>
        </w:trPr>
        <w:tc>
          <w:tcPr>
            <w:tcW w:w="10380" w:type="dxa"/>
            <w:gridSpan w:val="8"/>
            <w:tcBorders>
              <w:top w:val="nil"/>
              <w:left w:val="nil"/>
              <w:bottom w:val="nil"/>
              <w:right w:val="nil"/>
            </w:tcBorders>
            <w:tcMar>
              <w:top w:w="0" w:type="dxa"/>
              <w:left w:w="53" w:type="dxa"/>
              <w:bottom w:w="0" w:type="dxa"/>
              <w:right w:w="53" w:type="dxa"/>
            </w:tcMar>
            <w:vAlign w:val="bottom"/>
          </w:tcPr>
          <w:p w14:paraId="0F695C53" w14:textId="77777777" w:rsidR="00D0338B" w:rsidRDefault="00DB7EA0">
            <w:pPr>
              <w:keepNext/>
              <w:spacing w:before="53" w:after="30"/>
              <w:jc w:val="center"/>
            </w:pPr>
            <w:r>
              <w:rPr>
                <w:rFonts w:ascii="Arial" w:eastAsia="Arial" w:hAnsi="Arial" w:cs="Arial"/>
                <w:b/>
                <w:color w:val="000000"/>
                <w:sz w:val="16"/>
              </w:rPr>
              <w:lastRenderedPageBreak/>
              <w:t>Key Indicators (Unaudited)</w:t>
            </w:r>
          </w:p>
        </w:tc>
      </w:tr>
      <w:tr w:rsidR="00D0338B" w14:paraId="39CA7D0D" w14:textId="77777777">
        <w:trPr>
          <w:cantSplit/>
          <w:trHeight w:hRule="exact" w:val="255"/>
          <w:jc w:val="center"/>
        </w:trPr>
        <w:tc>
          <w:tcPr>
            <w:tcW w:w="7995" w:type="dxa"/>
            <w:tcBorders>
              <w:top w:val="nil"/>
              <w:left w:val="nil"/>
              <w:bottom w:val="nil"/>
              <w:right w:val="nil"/>
            </w:tcBorders>
            <w:tcMar>
              <w:top w:w="0" w:type="dxa"/>
              <w:left w:w="0" w:type="dxa"/>
              <w:bottom w:w="0" w:type="dxa"/>
              <w:right w:w="0" w:type="dxa"/>
            </w:tcMar>
            <w:vAlign w:val="bottom"/>
          </w:tcPr>
          <w:p w14:paraId="36AD732F" w14:textId="77777777" w:rsidR="00D0338B" w:rsidRDefault="00D0338B">
            <w:pPr>
              <w:keepNext/>
            </w:pPr>
          </w:p>
        </w:tc>
        <w:tc>
          <w:tcPr>
            <w:tcW w:w="1155" w:type="dxa"/>
            <w:gridSpan w:val="3"/>
            <w:tcBorders>
              <w:top w:val="nil"/>
              <w:left w:val="nil"/>
              <w:bottom w:val="nil"/>
              <w:right w:val="nil"/>
            </w:tcBorders>
            <w:tcMar>
              <w:top w:w="0" w:type="dxa"/>
              <w:left w:w="0" w:type="dxa"/>
              <w:bottom w:w="0" w:type="dxa"/>
              <w:right w:w="0" w:type="dxa"/>
            </w:tcMar>
            <w:vAlign w:val="bottom"/>
          </w:tcPr>
          <w:p w14:paraId="3728AE16"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EAB5DEE" w14:textId="77777777" w:rsidR="00D0338B" w:rsidRDefault="00D0338B">
            <w:pPr>
              <w:keepNext/>
            </w:pPr>
          </w:p>
        </w:tc>
        <w:tc>
          <w:tcPr>
            <w:tcW w:w="1155" w:type="dxa"/>
            <w:gridSpan w:val="3"/>
            <w:tcBorders>
              <w:top w:val="nil"/>
              <w:left w:val="nil"/>
              <w:bottom w:val="nil"/>
              <w:right w:val="nil"/>
            </w:tcBorders>
            <w:tcMar>
              <w:top w:w="0" w:type="dxa"/>
              <w:left w:w="0" w:type="dxa"/>
              <w:bottom w:w="0" w:type="dxa"/>
              <w:right w:w="0" w:type="dxa"/>
            </w:tcMar>
            <w:vAlign w:val="bottom"/>
          </w:tcPr>
          <w:p w14:paraId="7F3F486D" w14:textId="77777777" w:rsidR="00D0338B" w:rsidRDefault="00D0338B">
            <w:pPr>
              <w:keepNext/>
            </w:pPr>
          </w:p>
        </w:tc>
      </w:tr>
      <w:tr w:rsidR="00D0338B" w14:paraId="42AC2078" w14:textId="77777777">
        <w:trPr>
          <w:cantSplit/>
          <w:trHeight w:hRule="exact" w:val="420"/>
          <w:jc w:val="center"/>
        </w:trPr>
        <w:tc>
          <w:tcPr>
            <w:tcW w:w="7995" w:type="dxa"/>
            <w:tcBorders>
              <w:top w:val="nil"/>
              <w:left w:val="nil"/>
              <w:bottom w:val="nil"/>
              <w:right w:val="nil"/>
            </w:tcBorders>
            <w:tcMar>
              <w:top w:w="0" w:type="dxa"/>
              <w:left w:w="0" w:type="dxa"/>
              <w:bottom w:w="0" w:type="dxa"/>
              <w:right w:w="0" w:type="dxa"/>
            </w:tcMar>
            <w:vAlign w:val="bottom"/>
          </w:tcPr>
          <w:p w14:paraId="282C3484" w14:textId="77777777" w:rsidR="00D0338B" w:rsidRDefault="00D0338B">
            <w:pPr>
              <w:keepNext/>
            </w:pPr>
          </w:p>
        </w:tc>
        <w:tc>
          <w:tcPr>
            <w:tcW w:w="2385" w:type="dxa"/>
            <w:gridSpan w:val="7"/>
            <w:tcBorders>
              <w:top w:val="nil"/>
              <w:left w:val="nil"/>
              <w:bottom w:val="single" w:sz="8" w:space="0" w:color="000000"/>
              <w:right w:val="nil"/>
            </w:tcBorders>
            <w:tcMar>
              <w:top w:w="0" w:type="dxa"/>
              <w:left w:w="53" w:type="dxa"/>
              <w:bottom w:w="0" w:type="dxa"/>
              <w:right w:w="53" w:type="dxa"/>
            </w:tcMar>
            <w:vAlign w:val="bottom"/>
          </w:tcPr>
          <w:p w14:paraId="42E768CC" w14:textId="77777777" w:rsidR="00D0338B" w:rsidRDefault="00DB7EA0">
            <w:pPr>
              <w:keepNext/>
              <w:spacing w:before="53" w:after="30"/>
              <w:jc w:val="center"/>
            </w:pPr>
            <w:r>
              <w:rPr>
                <w:rFonts w:ascii="Arial" w:eastAsia="Arial" w:hAnsi="Arial" w:cs="Arial"/>
                <w:b/>
                <w:color w:val="000000"/>
                <w:sz w:val="16"/>
              </w:rPr>
              <w:t>12 Months Ended         December 31,</w:t>
            </w:r>
          </w:p>
        </w:tc>
      </w:tr>
      <w:tr w:rsidR="00D0338B" w14:paraId="073C8D4C" w14:textId="77777777">
        <w:trPr>
          <w:cantSplit/>
          <w:trHeight w:hRule="exact" w:val="255"/>
          <w:jc w:val="center"/>
        </w:trPr>
        <w:tc>
          <w:tcPr>
            <w:tcW w:w="7995" w:type="dxa"/>
            <w:tcBorders>
              <w:top w:val="nil"/>
              <w:left w:val="nil"/>
              <w:bottom w:val="nil"/>
              <w:right w:val="nil"/>
            </w:tcBorders>
            <w:tcMar>
              <w:top w:w="0" w:type="dxa"/>
              <w:left w:w="53" w:type="dxa"/>
              <w:bottom w:w="0" w:type="dxa"/>
              <w:right w:w="53" w:type="dxa"/>
            </w:tcMar>
            <w:vAlign w:val="bottom"/>
          </w:tcPr>
          <w:p w14:paraId="60666492" w14:textId="77777777" w:rsidR="00D0338B" w:rsidRDefault="00DB7EA0">
            <w:pPr>
              <w:keepNext/>
              <w:spacing w:before="53" w:after="30"/>
            </w:pPr>
            <w:r>
              <w:rPr>
                <w:rFonts w:ascii="Arial" w:eastAsia="Arial" w:hAnsi="Arial" w:cs="Arial"/>
                <w:b/>
                <w:color w:val="000000"/>
                <w:sz w:val="16"/>
              </w:rPr>
              <w:t>Financial:</w:t>
            </w: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14:paraId="532D3218" w14:textId="77777777" w:rsidR="00D0338B" w:rsidRDefault="00DB7EA0">
            <w:pPr>
              <w:keepNext/>
              <w:spacing w:before="33" w:after="30"/>
              <w:jc w:val="center"/>
            </w:pPr>
            <w:r>
              <w:rPr>
                <w:rFonts w:ascii="Arial" w:eastAsia="Arial" w:hAnsi="Arial" w:cs="Arial"/>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7E7A2A1" w14:textId="77777777" w:rsidR="00D0338B" w:rsidRDefault="00D0338B">
            <w:pPr>
              <w:keepNext/>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C56C125" w14:textId="77777777" w:rsidR="00D0338B" w:rsidRDefault="00DB7EA0">
            <w:pPr>
              <w:keepNext/>
              <w:spacing w:before="33" w:after="30"/>
              <w:jc w:val="center"/>
            </w:pPr>
            <w:r>
              <w:rPr>
                <w:rFonts w:ascii="Arial" w:eastAsia="Arial" w:hAnsi="Arial" w:cs="Arial"/>
                <w:b/>
                <w:color w:val="000000"/>
                <w:sz w:val="16"/>
              </w:rPr>
              <w:t>2019</w:t>
            </w:r>
          </w:p>
        </w:tc>
      </w:tr>
      <w:tr w:rsidR="00D0338B" w14:paraId="67B5DCE8" w14:textId="77777777">
        <w:trPr>
          <w:cantSplit/>
          <w:trHeight w:hRule="exact" w:val="255"/>
          <w:jc w:val="center"/>
        </w:trPr>
        <w:tc>
          <w:tcPr>
            <w:tcW w:w="7995" w:type="dxa"/>
            <w:tcBorders>
              <w:top w:val="nil"/>
              <w:left w:val="nil"/>
              <w:bottom w:val="nil"/>
              <w:right w:val="nil"/>
            </w:tcBorders>
            <w:tcMar>
              <w:top w:w="0" w:type="dxa"/>
              <w:left w:w="0" w:type="dxa"/>
              <w:bottom w:w="0" w:type="dxa"/>
              <w:right w:w="0" w:type="dxa"/>
            </w:tcMar>
            <w:vAlign w:val="bottom"/>
          </w:tcPr>
          <w:p w14:paraId="390562D1" w14:textId="77777777" w:rsidR="00D0338B" w:rsidRDefault="00D0338B">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14:paraId="1EACCD56"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64E14D0" w14:textId="77777777" w:rsidR="00D0338B" w:rsidRDefault="00D0338B">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14:paraId="5C814EB8" w14:textId="77777777" w:rsidR="00D0338B" w:rsidRDefault="00D0338B">
            <w:pPr>
              <w:keepNext/>
            </w:pPr>
          </w:p>
        </w:tc>
      </w:tr>
      <w:tr w:rsidR="00D0338B" w14:paraId="1BBCDA99" w14:textId="77777777">
        <w:trPr>
          <w:cantSplit/>
          <w:trHeight w:hRule="exact" w:val="25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46E897FB" w14:textId="77777777" w:rsidR="00D0338B" w:rsidRDefault="00DB7EA0">
            <w:pPr>
              <w:keepNext/>
              <w:spacing w:before="53" w:after="30"/>
            </w:pPr>
            <w:r>
              <w:rPr>
                <w:rFonts w:ascii="Arial" w:eastAsia="Arial" w:hAnsi="Arial" w:cs="Arial"/>
                <w:color w:val="000000"/>
                <w:sz w:val="16"/>
              </w:rPr>
              <w:t>Dividends declared per share of common stock</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641B6102"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096567FD" w14:textId="77777777" w:rsidR="00D0338B" w:rsidRDefault="00DB7EA0">
            <w:pPr>
              <w:keepNext/>
              <w:spacing w:before="53" w:after="30"/>
              <w:jc w:val="right"/>
            </w:pPr>
            <w:r>
              <w:rPr>
                <w:rFonts w:ascii="Arial" w:eastAsia="Arial" w:hAnsi="Arial" w:cs="Arial"/>
                <w:color w:val="000000"/>
                <w:sz w:val="16"/>
              </w:rPr>
              <w:t>1.66 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531BB8"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5B2E46"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A0AF165"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70DB91D8" w14:textId="77777777" w:rsidR="00D0338B" w:rsidRDefault="00DB7EA0">
            <w:pPr>
              <w:keepNext/>
              <w:spacing w:before="53" w:after="30"/>
              <w:jc w:val="right"/>
            </w:pPr>
            <w:r>
              <w:rPr>
                <w:rFonts w:ascii="Arial" w:eastAsia="Arial" w:hAnsi="Arial" w:cs="Arial"/>
                <w:color w:val="000000"/>
                <w:sz w:val="16"/>
              </w:rPr>
              <w:t>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7709B9" w14:textId="77777777" w:rsidR="00D0338B" w:rsidRDefault="00D0338B">
            <w:pPr>
              <w:keepNext/>
              <w:spacing w:before="53" w:after="30"/>
              <w:jc w:val="right"/>
            </w:pPr>
          </w:p>
        </w:tc>
      </w:tr>
      <w:tr w:rsidR="00D0338B" w14:paraId="20F3D1F1" w14:textId="77777777">
        <w:trPr>
          <w:cantSplit/>
          <w:trHeight w:hRule="exact" w:val="25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71AD1A3" w14:textId="77777777" w:rsidR="00D0338B" w:rsidRDefault="00DB7EA0">
            <w:pPr>
              <w:keepNext/>
              <w:spacing w:before="53" w:after="30"/>
              <w:rPr>
                <w:rFonts w:ascii="Arial" w:eastAsia="Arial" w:hAnsi="Arial" w:cs="Arial"/>
                <w:sz w:val="16"/>
              </w:rPr>
            </w:pPr>
            <w:r>
              <w:rPr>
                <w:rFonts w:ascii="Arial" w:eastAsia="Arial" w:hAnsi="Arial" w:cs="Arial"/>
                <w:sz w:val="16"/>
              </w:rPr>
              <w:t xml:space="preserve">Book value per share </w:t>
            </w:r>
            <w:r>
              <w:rPr>
                <w:rFonts w:ascii="Arial" w:eastAsia="Arial" w:hAnsi="Arial" w:cs="Arial"/>
                <w:sz w:val="16"/>
                <w:vertAlign w:val="superscript"/>
              </w:rPr>
              <w:t>(1)(2)</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AE91A95"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7BAD7ABA" w14:textId="77777777" w:rsidR="00D0338B" w:rsidRDefault="00DB7EA0">
            <w:pPr>
              <w:keepNext/>
              <w:spacing w:before="53" w:after="30"/>
              <w:jc w:val="right"/>
            </w:pPr>
            <w:r>
              <w:rPr>
                <w:rFonts w:ascii="Arial" w:eastAsia="Arial" w:hAnsi="Arial" w:cs="Arial"/>
                <w:color w:val="000000"/>
                <w:sz w:val="16"/>
              </w:rPr>
              <w:t>17.39 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94A1F0A"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95AB02" w14:textId="77777777" w:rsidR="00D0338B" w:rsidRDefault="00D0338B">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7CE4689"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3F74FBAB" w14:textId="77777777" w:rsidR="00D0338B" w:rsidRDefault="00DB7EA0">
            <w:pPr>
              <w:keepNext/>
              <w:spacing w:before="53" w:after="30"/>
              <w:jc w:val="right"/>
            </w:pPr>
            <w:r>
              <w:rPr>
                <w:rFonts w:ascii="Arial" w:eastAsia="Arial" w:hAnsi="Arial" w:cs="Arial"/>
                <w:color w:val="000000"/>
                <w:sz w:val="16"/>
              </w:rPr>
              <w:t>16.93 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E79961" w14:textId="77777777" w:rsidR="00D0338B" w:rsidRDefault="00D0338B">
            <w:pPr>
              <w:keepNext/>
              <w:spacing w:before="53" w:after="30"/>
              <w:jc w:val="right"/>
            </w:pPr>
          </w:p>
        </w:tc>
      </w:tr>
      <w:tr w:rsidR="00D0338B" w14:paraId="10EEC767" w14:textId="77777777">
        <w:trPr>
          <w:cantSplit/>
          <w:trHeight w:hRule="exact" w:val="25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44C9CAC4" w14:textId="77777777" w:rsidR="00D0338B" w:rsidRDefault="00DB7EA0">
            <w:pPr>
              <w:keepNext/>
              <w:spacing w:before="53" w:after="30"/>
              <w:rPr>
                <w:rFonts w:ascii="Arial" w:eastAsia="Arial" w:hAnsi="Arial" w:cs="Arial"/>
                <w:sz w:val="16"/>
              </w:rPr>
            </w:pPr>
            <w:r>
              <w:rPr>
                <w:rFonts w:ascii="Arial" w:eastAsia="Arial" w:hAnsi="Arial" w:cs="Arial"/>
                <w:sz w:val="16"/>
              </w:rPr>
              <w:t xml:space="preserve">Market price per share </w:t>
            </w:r>
            <w:r>
              <w:rPr>
                <w:rFonts w:ascii="Arial" w:eastAsia="Arial" w:hAnsi="Arial" w:cs="Arial"/>
                <w:sz w:val="16"/>
                <w:vertAlign w:val="superscript"/>
              </w:rPr>
              <w:t>(1)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C748E3C"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6E813CC8" w14:textId="77777777" w:rsidR="00D0338B" w:rsidRDefault="00DB7EA0">
            <w:pPr>
              <w:keepNext/>
              <w:spacing w:before="53" w:after="30"/>
              <w:jc w:val="right"/>
            </w:pPr>
            <w:r>
              <w:rPr>
                <w:rFonts w:ascii="Arial" w:eastAsia="Arial" w:hAnsi="Arial" w:cs="Arial"/>
                <w:color w:val="000000"/>
                <w:sz w:val="16"/>
              </w:rPr>
              <w:t>28.20 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F05AC34"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AC484B"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75E3366"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33E694D7" w14:textId="77777777" w:rsidR="00D0338B" w:rsidRDefault="00DB7EA0">
            <w:pPr>
              <w:keepNext/>
              <w:spacing w:before="53" w:after="30"/>
              <w:jc w:val="right"/>
            </w:pPr>
            <w:r>
              <w:rPr>
                <w:rFonts w:ascii="Arial" w:eastAsia="Arial" w:hAnsi="Arial" w:cs="Arial"/>
                <w:color w:val="000000"/>
                <w:sz w:val="16"/>
              </w:rPr>
              <w:t>35.88 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E8CC35" w14:textId="77777777" w:rsidR="00D0338B" w:rsidRDefault="00D0338B">
            <w:pPr>
              <w:keepNext/>
              <w:spacing w:before="53" w:after="30"/>
              <w:jc w:val="right"/>
            </w:pPr>
          </w:p>
        </w:tc>
      </w:tr>
      <w:tr w:rsidR="00D0338B" w14:paraId="53F2CFE7" w14:textId="77777777">
        <w:trPr>
          <w:cantSplit/>
          <w:trHeight w:hRule="exact" w:val="25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3646C19" w14:textId="77777777" w:rsidR="00D0338B" w:rsidRDefault="00DB7EA0">
            <w:pPr>
              <w:keepNext/>
              <w:spacing w:before="53" w:after="30"/>
            </w:pPr>
            <w:r>
              <w:rPr>
                <w:rFonts w:ascii="Arial" w:eastAsia="Arial" w:hAnsi="Arial" w:cs="Arial"/>
                <w:color w:val="000000"/>
                <w:sz w:val="16"/>
              </w:rPr>
              <w:t>Dividend yield</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2E93BEF8" w14:textId="77777777" w:rsidR="00D0338B" w:rsidRDefault="00DB7EA0">
            <w:pPr>
              <w:keepNext/>
              <w:spacing w:before="53" w:after="30"/>
              <w:jc w:val="right"/>
            </w:pPr>
            <w:r>
              <w:rPr>
                <w:rFonts w:ascii="Arial" w:eastAsia="Arial" w:hAnsi="Arial" w:cs="Arial"/>
                <w:color w:val="000000"/>
                <w:sz w:val="16"/>
              </w:rPr>
              <w:t>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11F94C" w14:textId="77777777" w:rsidR="00D0338B" w:rsidRDefault="00DB7EA0">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95C435" w14:textId="77777777" w:rsidR="00D0338B" w:rsidRDefault="00D0338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594F8CE" w14:textId="77777777" w:rsidR="00D0338B" w:rsidRDefault="00DB7EA0">
            <w:pPr>
              <w:keepNext/>
              <w:spacing w:before="53" w:after="30"/>
              <w:jc w:val="right"/>
            </w:pPr>
            <w:r>
              <w:rPr>
                <w:rFonts w:ascii="Arial" w:eastAsia="Arial" w:hAnsi="Arial" w:cs="Arial"/>
                <w:color w:val="000000"/>
                <w:sz w:val="16"/>
              </w:rPr>
              <w:t>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F199841" w14:textId="77777777" w:rsidR="00D0338B" w:rsidRDefault="00DB7EA0">
            <w:pPr>
              <w:keepNext/>
              <w:spacing w:before="53" w:after="30"/>
              <w:jc w:val="right"/>
            </w:pPr>
            <w:r>
              <w:rPr>
                <w:rFonts w:ascii="Arial" w:eastAsia="Arial" w:hAnsi="Arial" w:cs="Arial"/>
                <w:color w:val="000000"/>
                <w:sz w:val="16"/>
              </w:rPr>
              <w:t>%</w:t>
            </w:r>
          </w:p>
        </w:tc>
      </w:tr>
      <w:tr w:rsidR="00D0338B" w14:paraId="3B3E0B76" w14:textId="77777777">
        <w:trPr>
          <w:cantSplit/>
          <w:trHeight w:hRule="exact" w:val="25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251EA60A" w14:textId="77777777" w:rsidR="00D0338B" w:rsidRDefault="00DB7EA0">
            <w:pPr>
              <w:keepNext/>
              <w:spacing w:before="53" w:after="30"/>
              <w:rPr>
                <w:rFonts w:ascii="Arial" w:eastAsia="Arial" w:hAnsi="Arial" w:cs="Arial"/>
                <w:sz w:val="16"/>
              </w:rPr>
            </w:pPr>
            <w:r>
              <w:rPr>
                <w:rFonts w:ascii="Arial" w:eastAsia="Arial" w:hAnsi="Arial" w:cs="Arial"/>
                <w:sz w:val="16"/>
              </w:rPr>
              <w:t xml:space="preserve">Dividend payout ratio </w:t>
            </w:r>
            <w:r>
              <w:rPr>
                <w:rFonts w:ascii="Arial" w:eastAsia="Arial" w:hAnsi="Arial" w:cs="Arial"/>
                <w:sz w:val="16"/>
                <w:vertAlign w:val="superscript"/>
              </w:rPr>
              <w:t>(3)</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23D48E4C" w14:textId="77777777" w:rsidR="00D0338B" w:rsidRDefault="00DB7EA0">
            <w:pPr>
              <w:keepNext/>
              <w:spacing w:before="53" w:after="30"/>
              <w:jc w:val="right"/>
            </w:pPr>
            <w:r>
              <w:rPr>
                <w:rFonts w:ascii="Arial" w:eastAsia="Arial" w:hAnsi="Arial" w:cs="Arial"/>
                <w:color w:val="000000"/>
                <w:sz w:val="16"/>
              </w:rPr>
              <w:t>86.9 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63CA15" w14:textId="77777777" w:rsidR="00D0338B" w:rsidRDefault="00DB7EA0">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4C649E" w14:textId="77777777" w:rsidR="00D0338B" w:rsidRDefault="00D0338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0CBCC4D6" w14:textId="77777777" w:rsidR="00D0338B" w:rsidRDefault="00DB7EA0">
            <w:pPr>
              <w:keepNext/>
              <w:spacing w:before="53" w:after="30"/>
              <w:jc w:val="right"/>
            </w:pPr>
            <w:r>
              <w:rPr>
                <w:rFonts w:ascii="Arial" w:eastAsia="Arial" w:hAnsi="Arial" w:cs="Arial"/>
                <w:color w:val="000000"/>
                <w:sz w:val="16"/>
              </w:rPr>
              <w:t>69.6 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0D80B80" w14:textId="77777777" w:rsidR="00D0338B" w:rsidRDefault="00DB7EA0">
            <w:pPr>
              <w:keepNext/>
              <w:spacing w:before="53" w:after="30"/>
              <w:jc w:val="right"/>
            </w:pPr>
            <w:r>
              <w:rPr>
                <w:rFonts w:ascii="Arial" w:eastAsia="Arial" w:hAnsi="Arial" w:cs="Arial"/>
                <w:color w:val="000000"/>
                <w:sz w:val="16"/>
              </w:rPr>
              <w:t>%</w:t>
            </w:r>
          </w:p>
        </w:tc>
      </w:tr>
      <w:tr w:rsidR="00D0338B" w14:paraId="5399C3BF" w14:textId="77777777">
        <w:trPr>
          <w:cantSplit/>
          <w:trHeight w:hRule="exact" w:val="25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564A7F2A" w14:textId="77777777" w:rsidR="00D0338B" w:rsidRDefault="00DB7EA0">
            <w:pPr>
              <w:keepNext/>
              <w:spacing w:before="53" w:after="30"/>
              <w:rPr>
                <w:rFonts w:ascii="Arial" w:eastAsia="Arial" w:hAnsi="Arial" w:cs="Arial"/>
                <w:sz w:val="16"/>
              </w:rPr>
            </w:pPr>
            <w:r>
              <w:rPr>
                <w:rFonts w:ascii="Arial" w:eastAsia="Arial" w:hAnsi="Arial" w:cs="Arial"/>
                <w:sz w:val="16"/>
              </w:rPr>
              <w:t xml:space="preserve">Dividend payout ratio - earnings from ongoing operations </w:t>
            </w:r>
            <w:r>
              <w:rPr>
                <w:rFonts w:ascii="Arial" w:eastAsia="Arial" w:hAnsi="Arial" w:cs="Arial"/>
                <w:sz w:val="16"/>
                <w:vertAlign w:val="superscript"/>
              </w:rPr>
              <w:t>(3)(4)</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2FD4B2C" w14:textId="77777777" w:rsidR="00D0338B" w:rsidRDefault="00DB7EA0">
            <w:pPr>
              <w:keepNext/>
              <w:spacing w:before="53" w:after="30"/>
              <w:jc w:val="right"/>
            </w:pPr>
            <w:r>
              <w:rPr>
                <w:rFonts w:ascii="Arial" w:eastAsia="Arial" w:hAnsi="Arial" w:cs="Arial"/>
                <w:color w:val="000000"/>
                <w:sz w:val="16"/>
              </w:rPr>
              <w:t>69.2 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A399374" w14:textId="77777777" w:rsidR="00D0338B" w:rsidRDefault="00DB7EA0">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DA9306" w14:textId="77777777" w:rsidR="00D0338B" w:rsidRDefault="00D0338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65471B67" w14:textId="77777777" w:rsidR="00D0338B" w:rsidRDefault="00DB7EA0">
            <w:pPr>
              <w:keepNext/>
              <w:spacing w:before="53" w:after="30"/>
              <w:jc w:val="right"/>
            </w:pPr>
            <w:r>
              <w:rPr>
                <w:rFonts w:ascii="Arial" w:eastAsia="Arial" w:hAnsi="Arial" w:cs="Arial"/>
                <w:color w:val="000000"/>
                <w:sz w:val="16"/>
              </w:rPr>
              <w:t>67.3 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3F33088" w14:textId="77777777" w:rsidR="00D0338B" w:rsidRDefault="00DB7EA0">
            <w:pPr>
              <w:keepNext/>
              <w:spacing w:before="53" w:after="30"/>
              <w:jc w:val="right"/>
            </w:pPr>
            <w:r>
              <w:rPr>
                <w:rFonts w:ascii="Arial" w:eastAsia="Arial" w:hAnsi="Arial" w:cs="Arial"/>
                <w:color w:val="000000"/>
                <w:sz w:val="16"/>
              </w:rPr>
              <w:t>%</w:t>
            </w:r>
          </w:p>
        </w:tc>
      </w:tr>
      <w:tr w:rsidR="00D0338B" w14:paraId="2F130CBD" w14:textId="77777777">
        <w:trPr>
          <w:cantSplit/>
          <w:trHeight w:hRule="exact" w:val="25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4CF7576B" w14:textId="77777777" w:rsidR="00D0338B" w:rsidRDefault="00DB7EA0">
            <w:pPr>
              <w:keepNext/>
              <w:spacing w:before="53" w:after="30"/>
            </w:pPr>
            <w:r>
              <w:rPr>
                <w:rFonts w:ascii="Arial" w:eastAsia="Arial" w:hAnsi="Arial" w:cs="Arial"/>
                <w:color w:val="000000"/>
                <w:sz w:val="16"/>
              </w:rPr>
              <w:t xml:space="preserve">Return on common equity </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47E18654" w14:textId="77777777" w:rsidR="00D0338B" w:rsidRDefault="00DB7EA0">
            <w:pPr>
              <w:keepNext/>
              <w:spacing w:before="53" w:after="30"/>
              <w:jc w:val="right"/>
            </w:pPr>
            <w:r>
              <w:rPr>
                <w:rFonts w:ascii="Arial" w:eastAsia="Arial" w:hAnsi="Arial" w:cs="Arial"/>
                <w:color w:val="000000"/>
                <w:sz w:val="16"/>
              </w:rPr>
              <w:t>11.1 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EB11EB" w14:textId="77777777" w:rsidR="00D0338B" w:rsidRDefault="00DB7EA0">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1B3033" w14:textId="77777777" w:rsidR="00D0338B" w:rsidRDefault="00D0338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0814E77A" w14:textId="77777777" w:rsidR="00D0338B" w:rsidRDefault="00DB7EA0">
            <w:pPr>
              <w:keepNext/>
              <w:spacing w:before="53" w:after="30"/>
              <w:jc w:val="right"/>
            </w:pPr>
            <w:r>
              <w:rPr>
                <w:rFonts w:ascii="Arial" w:eastAsia="Arial" w:hAnsi="Arial" w:cs="Arial"/>
                <w:color w:val="000000"/>
                <w:sz w:val="16"/>
              </w:rPr>
              <w:t>14.3 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00E9B8" w14:textId="77777777" w:rsidR="00D0338B" w:rsidRDefault="00DB7EA0">
            <w:pPr>
              <w:keepNext/>
              <w:spacing w:before="53" w:after="30"/>
              <w:jc w:val="right"/>
            </w:pPr>
            <w:r>
              <w:rPr>
                <w:rFonts w:ascii="Arial" w:eastAsia="Arial" w:hAnsi="Arial" w:cs="Arial"/>
                <w:color w:val="000000"/>
                <w:sz w:val="16"/>
              </w:rPr>
              <w:t>%</w:t>
            </w:r>
          </w:p>
        </w:tc>
      </w:tr>
      <w:tr w:rsidR="00D0338B" w14:paraId="1D6B0CD7" w14:textId="77777777">
        <w:trPr>
          <w:cantSplit/>
          <w:trHeight w:hRule="exact" w:val="25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08DC80C9" w14:textId="77777777" w:rsidR="00D0338B" w:rsidRDefault="00DB7EA0">
            <w:pPr>
              <w:keepNext/>
              <w:spacing w:before="53" w:after="30"/>
              <w:rPr>
                <w:rFonts w:ascii="Arial" w:eastAsia="Arial" w:hAnsi="Arial" w:cs="Arial"/>
                <w:sz w:val="16"/>
              </w:rPr>
            </w:pPr>
            <w:r>
              <w:rPr>
                <w:rFonts w:ascii="Arial" w:eastAsia="Arial" w:hAnsi="Arial" w:cs="Arial"/>
                <w:sz w:val="16"/>
              </w:rPr>
              <w:t xml:space="preserve">Return on common equity - earnings from ongoing operations </w:t>
            </w:r>
            <w:r>
              <w:rPr>
                <w:rFonts w:ascii="Arial" w:eastAsia="Arial" w:hAnsi="Arial" w:cs="Arial"/>
                <w:sz w:val="16"/>
                <w:vertAlign w:val="superscript"/>
              </w:rPr>
              <w:t>(4)</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E45557F" w14:textId="77777777" w:rsidR="00D0338B" w:rsidRDefault="00DB7EA0">
            <w:pPr>
              <w:keepNext/>
              <w:spacing w:before="53" w:after="30"/>
              <w:jc w:val="right"/>
            </w:pPr>
            <w:r>
              <w:rPr>
                <w:rFonts w:ascii="Arial" w:eastAsia="Arial" w:hAnsi="Arial" w:cs="Arial"/>
                <w:color w:val="000000"/>
                <w:sz w:val="16"/>
              </w:rPr>
              <w:t>14.0 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ED9EA3" w14:textId="77777777" w:rsidR="00D0338B" w:rsidRDefault="00DB7EA0">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EBA136" w14:textId="77777777" w:rsidR="00D0338B" w:rsidRDefault="00D0338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3C949831" w14:textId="77777777" w:rsidR="00D0338B" w:rsidRDefault="00DB7EA0">
            <w:pPr>
              <w:keepNext/>
              <w:spacing w:before="53" w:after="30"/>
              <w:jc w:val="right"/>
            </w:pPr>
            <w:r>
              <w:rPr>
                <w:rFonts w:ascii="Arial" w:eastAsia="Arial" w:hAnsi="Arial" w:cs="Arial"/>
                <w:color w:val="000000"/>
                <w:sz w:val="16"/>
              </w:rPr>
              <w:t>14.8 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9F6825" w14:textId="77777777" w:rsidR="00D0338B" w:rsidRDefault="00DB7EA0">
            <w:pPr>
              <w:keepNext/>
              <w:spacing w:before="53" w:after="30"/>
              <w:jc w:val="right"/>
            </w:pPr>
            <w:r>
              <w:rPr>
                <w:rFonts w:ascii="Arial" w:eastAsia="Arial" w:hAnsi="Arial" w:cs="Arial"/>
                <w:color w:val="000000"/>
                <w:sz w:val="16"/>
              </w:rPr>
              <w:t>%</w:t>
            </w:r>
          </w:p>
        </w:tc>
      </w:tr>
      <w:tr w:rsidR="00D0338B" w14:paraId="77A956FA" w14:textId="77777777">
        <w:trPr>
          <w:cantSplit/>
          <w:trHeight w:hRule="exact" w:val="25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2ED84CD4" w14:textId="77777777" w:rsidR="00D0338B" w:rsidRDefault="00DB7EA0">
            <w:pPr>
              <w:keepNext/>
              <w:spacing w:before="53" w:after="30"/>
              <w:rPr>
                <w:rFonts w:ascii="Arial" w:eastAsia="Arial" w:hAnsi="Arial" w:cs="Arial"/>
                <w:sz w:val="16"/>
              </w:rPr>
            </w:pPr>
            <w:r>
              <w:rPr>
                <w:rFonts w:ascii="Arial" w:eastAsia="Arial" w:hAnsi="Arial" w:cs="Arial"/>
                <w:sz w:val="16"/>
              </w:rPr>
              <w:t>Spot rate of U.S. Dollar per British pound sterling for Balance Sheet translation</w:t>
            </w:r>
            <w:r>
              <w:rPr>
                <w:rFonts w:ascii="Arial" w:eastAsia="Arial" w:hAnsi="Arial" w:cs="Arial"/>
                <w:sz w:val="16"/>
                <w:vertAlign w:val="superscript"/>
              </w:rPr>
              <w:t xml:space="preserve"> (5)</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B0827C0"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42E9B635" w14:textId="77777777" w:rsidR="00D0338B" w:rsidRDefault="00DB7EA0">
            <w:pPr>
              <w:keepNext/>
              <w:spacing w:before="53" w:after="30"/>
              <w:jc w:val="right"/>
            </w:pPr>
            <w:r>
              <w:rPr>
                <w:rFonts w:ascii="Arial" w:eastAsia="Arial" w:hAnsi="Arial" w:cs="Arial"/>
                <w:color w:val="000000"/>
                <w:sz w:val="16"/>
              </w:rPr>
              <w:t>1.33 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AFFF7B5"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CE962B" w14:textId="77777777" w:rsidR="00D0338B" w:rsidRDefault="00D0338B">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863F165" w14:textId="77777777" w:rsidR="00D0338B" w:rsidRDefault="00DB7EA0">
            <w:pPr>
              <w:keepNext/>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0D30A09D" w14:textId="77777777" w:rsidR="00D0338B" w:rsidRDefault="00DB7EA0">
            <w:pPr>
              <w:keepNext/>
              <w:spacing w:before="53" w:after="30"/>
              <w:jc w:val="right"/>
            </w:pPr>
            <w:r>
              <w:rPr>
                <w:rFonts w:ascii="Arial" w:eastAsia="Arial" w:hAnsi="Arial" w:cs="Arial"/>
                <w:color w:val="000000"/>
                <w:sz w:val="16"/>
              </w:rPr>
              <w:t>1.29 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8E5040" w14:textId="77777777" w:rsidR="00D0338B" w:rsidRDefault="00D0338B">
            <w:pPr>
              <w:keepNext/>
              <w:spacing w:before="53" w:after="30"/>
              <w:jc w:val="right"/>
            </w:pPr>
          </w:p>
        </w:tc>
      </w:tr>
      <w:tr w:rsidR="00D0338B" w14:paraId="043E21CE" w14:textId="77777777">
        <w:trPr>
          <w:cantSplit/>
          <w:trHeight w:hRule="exact" w:val="25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67AA9B6" w14:textId="77777777" w:rsidR="00D0338B" w:rsidRDefault="00DB7EA0">
            <w:pPr>
              <w:spacing w:before="53" w:after="30"/>
              <w:outlineLvl w:val="0"/>
              <w:rPr>
                <w:rFonts w:ascii="Arial" w:eastAsia="Arial" w:hAnsi="Arial" w:cs="Arial"/>
                <w:sz w:val="16"/>
              </w:rPr>
            </w:pPr>
            <w:r>
              <w:rPr>
                <w:rFonts w:ascii="Arial" w:eastAsia="Arial" w:hAnsi="Arial" w:cs="Arial"/>
                <w:sz w:val="16"/>
              </w:rPr>
              <w:t xml:space="preserve">Average rate of U.S. Dollar per British pound sterling for Statement of Income translation </w:t>
            </w:r>
            <w:r>
              <w:rPr>
                <w:rFonts w:ascii="Arial" w:eastAsia="Arial" w:hAnsi="Arial" w:cs="Arial"/>
                <w:sz w:val="16"/>
                <w:vertAlign w:val="superscript"/>
              </w:rPr>
              <w:t>(6)</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ACD6C62" w14:textId="77777777" w:rsidR="00D0338B" w:rsidRDefault="00DB7EA0">
            <w:pPr>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55C3A718" w14:textId="77777777" w:rsidR="00D0338B" w:rsidRDefault="00DB7EA0">
            <w:pPr>
              <w:spacing w:before="53" w:after="30"/>
              <w:jc w:val="right"/>
            </w:pPr>
            <w:r>
              <w:rPr>
                <w:rFonts w:ascii="Arial" w:eastAsia="Arial" w:hAnsi="Arial" w:cs="Arial"/>
                <w:color w:val="000000"/>
                <w:sz w:val="16"/>
              </w:rPr>
              <w:t>1.47 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DEE2619" w14:textId="77777777" w:rsidR="00D0338B" w:rsidRDefault="00D0338B">
            <w:pPr>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3879E1" w14:textId="77777777" w:rsidR="00D0338B" w:rsidRDefault="00D0338B"/>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5A87CB0" w14:textId="77777777" w:rsidR="00D0338B" w:rsidRDefault="00DB7EA0">
            <w:pPr>
              <w:spacing w:before="53" w:after="30"/>
            </w:pPr>
            <w:r>
              <w:rPr>
                <w:rFonts w:ascii="Arial" w:eastAsia="Arial" w:hAnsi="Arial" w:cs="Arial"/>
                <w:color w:val="000000"/>
                <w:sz w:val="16"/>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6BC43E82" w14:textId="77777777" w:rsidR="00D0338B" w:rsidRDefault="00DB7EA0">
            <w:pPr>
              <w:spacing w:before="53" w:after="30"/>
              <w:jc w:val="right"/>
            </w:pPr>
            <w:r>
              <w:rPr>
                <w:rFonts w:ascii="Arial" w:eastAsia="Arial" w:hAnsi="Arial" w:cs="Arial"/>
                <w:color w:val="000000"/>
                <w:sz w:val="16"/>
              </w:rPr>
              <w:t>1.32 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9EE182" w14:textId="77777777" w:rsidR="00D0338B" w:rsidRDefault="00D0338B">
            <w:pPr>
              <w:spacing w:before="53" w:after="30"/>
              <w:jc w:val="right"/>
            </w:pPr>
          </w:p>
        </w:tc>
      </w:tr>
    </w:tbl>
    <w:p w14:paraId="5EA38CB0" w14:textId="77777777" w:rsidR="00D0338B" w:rsidRDefault="00D0338B">
      <w:pPr>
        <w:keepLines/>
        <w:widowControl w:val="0"/>
        <w:spacing w:line="288" w:lineRule="auto"/>
        <w:jc w:val="center"/>
        <w:rPr>
          <w:sz w:val="16"/>
        </w:rPr>
      </w:pPr>
      <w:bookmarkStart w:id="4" w:name="Section5"/>
      <w:bookmarkEnd w:id="4"/>
    </w:p>
    <w:p w14:paraId="43592643" w14:textId="77777777" w:rsidR="00D0338B" w:rsidRDefault="00DB7EA0">
      <w:pPr>
        <w:keepLines/>
        <w:widowControl w:val="0"/>
        <w:numPr>
          <w:ilvl w:val="0"/>
          <w:numId w:val="7"/>
        </w:numPr>
        <w:spacing w:line="288" w:lineRule="auto"/>
        <w:ind w:left="360"/>
        <w:rPr>
          <w:rFonts w:ascii="Arial" w:eastAsia="Arial" w:hAnsi="Arial" w:cs="Arial"/>
          <w:sz w:val="16"/>
        </w:rPr>
      </w:pPr>
      <w:r>
        <w:rPr>
          <w:rFonts w:ascii="Arial" w:eastAsia="Arial" w:hAnsi="Arial" w:cs="Arial"/>
          <w:sz w:val="16"/>
        </w:rPr>
        <w:t>End of period.</w:t>
      </w:r>
    </w:p>
    <w:p w14:paraId="4E1DA883" w14:textId="77777777" w:rsidR="00D0338B" w:rsidRDefault="00DB7EA0">
      <w:pPr>
        <w:keepLines/>
        <w:widowControl w:val="0"/>
        <w:numPr>
          <w:ilvl w:val="0"/>
          <w:numId w:val="7"/>
        </w:numPr>
        <w:spacing w:line="288" w:lineRule="auto"/>
        <w:ind w:left="360"/>
        <w:rPr>
          <w:rFonts w:ascii="Arial" w:eastAsia="Arial" w:hAnsi="Arial" w:cs="Arial"/>
          <w:sz w:val="16"/>
        </w:rPr>
      </w:pPr>
      <w:r>
        <w:rPr>
          <w:rFonts w:ascii="Arial" w:eastAsia="Arial" w:hAnsi="Arial" w:cs="Arial"/>
          <w:sz w:val="16"/>
        </w:rPr>
        <w:t>Based on 768,907 and 767,233 shares of common stock outstanding (in thousands) at December 31, 2020, and December 31, 2019.</w:t>
      </w:r>
    </w:p>
    <w:p w14:paraId="62D69110" w14:textId="77777777" w:rsidR="00D0338B" w:rsidRDefault="00DB7EA0">
      <w:pPr>
        <w:keepLines/>
        <w:widowControl w:val="0"/>
        <w:numPr>
          <w:ilvl w:val="0"/>
          <w:numId w:val="7"/>
        </w:numPr>
        <w:spacing w:line="288" w:lineRule="auto"/>
        <w:ind w:left="360"/>
        <w:rPr>
          <w:rFonts w:ascii="Arial" w:eastAsia="Arial" w:hAnsi="Arial" w:cs="Arial"/>
          <w:sz w:val="16"/>
        </w:rPr>
      </w:pPr>
      <w:r>
        <w:rPr>
          <w:rFonts w:ascii="Arial" w:eastAsia="Arial" w:hAnsi="Arial" w:cs="Arial"/>
          <w:sz w:val="16"/>
        </w:rPr>
        <w:t>Based on diluted earnings per share.</w:t>
      </w:r>
    </w:p>
    <w:p w14:paraId="5C880D18" w14:textId="77777777" w:rsidR="00D0338B" w:rsidRDefault="00DB7EA0">
      <w:pPr>
        <w:keepLines/>
        <w:widowControl w:val="0"/>
        <w:numPr>
          <w:ilvl w:val="0"/>
          <w:numId w:val="7"/>
        </w:numPr>
        <w:spacing w:line="288" w:lineRule="auto"/>
        <w:ind w:left="360"/>
        <w:rPr>
          <w:rFonts w:ascii="Arial" w:eastAsia="Arial" w:hAnsi="Arial" w:cs="Arial"/>
          <w:sz w:val="16"/>
        </w:rPr>
      </w:pPr>
      <w:r>
        <w:rPr>
          <w:rFonts w:ascii="Arial" w:eastAsia="Arial" w:hAnsi="Arial" w:cs="Arial"/>
          <w:sz w:val="16"/>
        </w:rPr>
        <w:t>Calculated using earnings from ongoing operations, which is a non-GAAP financial measure that includes adjustments described in the text and tables of this news release.</w:t>
      </w:r>
    </w:p>
    <w:p w14:paraId="6A6B3C57" w14:textId="77777777" w:rsidR="00D0338B" w:rsidRDefault="00DB7EA0">
      <w:pPr>
        <w:keepLines/>
        <w:widowControl w:val="0"/>
        <w:numPr>
          <w:ilvl w:val="0"/>
          <w:numId w:val="7"/>
        </w:numPr>
        <w:spacing w:line="288" w:lineRule="auto"/>
        <w:ind w:left="360"/>
        <w:rPr>
          <w:rFonts w:ascii="Arial" w:eastAsia="Arial" w:hAnsi="Arial" w:cs="Arial"/>
          <w:sz w:val="16"/>
        </w:rPr>
      </w:pPr>
      <w:r>
        <w:rPr>
          <w:rFonts w:ascii="Arial" w:eastAsia="Arial" w:hAnsi="Arial" w:cs="Arial"/>
          <w:sz w:val="16"/>
        </w:rPr>
        <w:t>As of November 30, 2020, and November 30, 2019, as WPD is consolidated on a one-month lag.</w:t>
      </w:r>
    </w:p>
    <w:p w14:paraId="2EF6C1A7" w14:textId="77777777" w:rsidR="00D0338B" w:rsidRDefault="00DB7EA0">
      <w:pPr>
        <w:keepLines/>
        <w:widowControl w:val="0"/>
        <w:numPr>
          <w:ilvl w:val="0"/>
          <w:numId w:val="7"/>
        </w:numPr>
        <w:spacing w:line="288" w:lineRule="auto"/>
        <w:ind w:left="360"/>
        <w:rPr>
          <w:rFonts w:ascii="Arial" w:eastAsia="Arial" w:hAnsi="Arial" w:cs="Arial"/>
          <w:sz w:val="16"/>
        </w:rPr>
      </w:pPr>
      <w:r>
        <w:rPr>
          <w:rFonts w:ascii="Arial" w:eastAsia="Arial" w:hAnsi="Arial" w:cs="Arial"/>
          <w:sz w:val="16"/>
        </w:rPr>
        <w:t>Represents a year-to-date average and includes the impact of foreign exchange hedges.</w:t>
      </w:r>
    </w:p>
    <w:p w14:paraId="4B6FFAA9" w14:textId="77777777" w:rsidR="00D0338B" w:rsidRDefault="00D0338B">
      <w:pPr>
        <w:keepLines/>
        <w:widowControl w:val="0"/>
        <w:spacing w:line="288" w:lineRule="auto"/>
        <w:ind w:left="360"/>
        <w:rPr>
          <w:rFonts w:ascii="Arial" w:eastAsia="Arial" w:hAnsi="Arial" w:cs="Arial"/>
          <w:sz w:val="16"/>
        </w:rPr>
      </w:pPr>
    </w:p>
    <w:p w14:paraId="21EFFAD1" w14:textId="77777777" w:rsidR="00D0338B" w:rsidRDefault="00D0338B">
      <w:pPr>
        <w:keepLines/>
        <w:widowControl w:val="0"/>
        <w:spacing w:line="288" w:lineRule="auto"/>
        <w:rPr>
          <w:rFonts w:ascii="Arial" w:eastAsia="Arial" w:hAnsi="Arial" w:cs="Arial"/>
          <w:sz w:val="16"/>
        </w:rPr>
      </w:pPr>
    </w:p>
    <w:p w14:paraId="0E75DA1A" w14:textId="77777777" w:rsidR="00D0338B" w:rsidRDefault="00D0338B">
      <w:pPr>
        <w:keepLines/>
        <w:widowControl w:val="0"/>
        <w:spacing w:line="288" w:lineRule="auto"/>
        <w:rPr>
          <w:rFonts w:ascii="Arial" w:eastAsia="Arial" w:hAnsi="Arial" w:cs="Arial"/>
          <w:sz w:val="16"/>
        </w:rPr>
      </w:pPr>
    </w:p>
    <w:p w14:paraId="5A3CD76F" w14:textId="77777777" w:rsidR="00D0338B" w:rsidRDefault="00D0338B">
      <w:pPr>
        <w:keepLines/>
        <w:widowControl w:val="0"/>
        <w:spacing w:line="288" w:lineRule="auto"/>
        <w:rPr>
          <w:rFonts w:ascii="Arial" w:eastAsia="Arial" w:hAnsi="Arial" w:cs="Arial"/>
          <w:sz w:val="16"/>
        </w:rPr>
      </w:pPr>
    </w:p>
    <w:p w14:paraId="6B219BCE" w14:textId="77777777" w:rsidR="00D0338B" w:rsidRDefault="00D0338B">
      <w:pPr>
        <w:keepNext/>
        <w:keepLines/>
        <w:widowControl w:val="0"/>
        <w:spacing w:line="288" w:lineRule="auto"/>
        <w:rPr>
          <w:rFonts w:ascii="Arial" w:eastAsia="Arial" w:hAnsi="Arial" w:cs="Arial"/>
          <w:sz w:val="16"/>
        </w:rPr>
      </w:pPr>
    </w:p>
    <w:p w14:paraId="03632FEA" w14:textId="77777777" w:rsidR="00D0338B" w:rsidRDefault="00D0338B">
      <w:pPr>
        <w:keepNext/>
        <w:keepLines/>
        <w:widowControl w:val="0"/>
        <w:spacing w:line="288" w:lineRule="auto"/>
        <w:sectPr w:rsidR="00D0338B">
          <w:headerReference w:type="default" r:id="rId17"/>
          <w:footerReference w:type="default" r:id="rId18"/>
          <w:pgSz w:w="12240" w:h="15840"/>
          <w:pgMar w:top="360" w:right="720" w:bottom="360" w:left="1080" w:header="270" w:footer="270" w:gutter="0"/>
          <w:cols w:space="708"/>
        </w:sect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853"/>
        <w:gridCol w:w="101"/>
        <w:gridCol w:w="76"/>
        <w:gridCol w:w="852"/>
        <w:gridCol w:w="101"/>
        <w:gridCol w:w="76"/>
        <w:gridCol w:w="852"/>
        <w:gridCol w:w="159"/>
        <w:gridCol w:w="378"/>
        <w:gridCol w:w="852"/>
        <w:gridCol w:w="101"/>
        <w:gridCol w:w="76"/>
        <w:gridCol w:w="852"/>
        <w:gridCol w:w="101"/>
        <w:gridCol w:w="76"/>
        <w:gridCol w:w="852"/>
        <w:gridCol w:w="159"/>
      </w:tblGrid>
      <w:tr w:rsidR="00D0338B" w14:paraId="58F28D58" w14:textId="77777777">
        <w:trPr>
          <w:cantSplit/>
          <w:trHeight w:hRule="exact" w:val="255"/>
          <w:jc w:val="center"/>
        </w:trPr>
        <w:tc>
          <w:tcPr>
            <w:tcW w:w="4095" w:type="dxa"/>
            <w:tcBorders>
              <w:top w:val="nil"/>
              <w:left w:val="nil"/>
              <w:bottom w:val="nil"/>
              <w:right w:val="nil"/>
            </w:tcBorders>
            <w:tcMar>
              <w:top w:w="0" w:type="dxa"/>
              <w:left w:w="0" w:type="dxa"/>
              <w:bottom w:w="0" w:type="dxa"/>
              <w:right w:w="0" w:type="dxa"/>
            </w:tcMar>
            <w:vAlign w:val="bottom"/>
          </w:tcPr>
          <w:p w14:paraId="0F31E413"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08076BFF"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FC6C6DE"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27C7F317"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CC574ED"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7E236B15" w14:textId="77777777" w:rsidR="00D0338B" w:rsidRDefault="00D0338B">
            <w:pPr>
              <w:keepNext/>
            </w:pPr>
          </w:p>
        </w:tc>
        <w:tc>
          <w:tcPr>
            <w:tcW w:w="375" w:type="dxa"/>
            <w:tcBorders>
              <w:top w:val="nil"/>
              <w:left w:val="nil"/>
              <w:bottom w:val="nil"/>
              <w:right w:val="nil"/>
            </w:tcBorders>
            <w:tcMar>
              <w:top w:w="0" w:type="dxa"/>
              <w:left w:w="0" w:type="dxa"/>
              <w:bottom w:w="0" w:type="dxa"/>
              <w:right w:w="0" w:type="dxa"/>
            </w:tcMar>
            <w:vAlign w:val="bottom"/>
          </w:tcPr>
          <w:p w14:paraId="2FCFED4E"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56CF99BC"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75499750"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233EC5FC"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A3E1A02"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7B7880CF" w14:textId="77777777" w:rsidR="00D0338B" w:rsidRDefault="00D0338B">
            <w:pPr>
              <w:keepNext/>
            </w:pPr>
          </w:p>
        </w:tc>
      </w:tr>
      <w:tr w:rsidR="00D0338B" w14:paraId="707AE053" w14:textId="77777777">
        <w:trPr>
          <w:cantSplit/>
          <w:trHeight w:hRule="exact" w:val="255"/>
          <w:jc w:val="center"/>
        </w:trPr>
        <w:tc>
          <w:tcPr>
            <w:tcW w:w="4095" w:type="dxa"/>
            <w:tcBorders>
              <w:top w:val="nil"/>
              <w:left w:val="nil"/>
              <w:bottom w:val="nil"/>
              <w:right w:val="nil"/>
            </w:tcBorders>
            <w:tcMar>
              <w:top w:w="0" w:type="dxa"/>
              <w:left w:w="0" w:type="dxa"/>
              <w:bottom w:w="0" w:type="dxa"/>
              <w:right w:w="0" w:type="dxa"/>
            </w:tcMar>
            <w:vAlign w:val="bottom"/>
          </w:tcPr>
          <w:p w14:paraId="6C254474"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6CC00E06"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EE6EE00"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1C45262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3D684AF"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77ACFC78" w14:textId="77777777" w:rsidR="00D0338B" w:rsidRDefault="00D0338B">
            <w:pPr>
              <w:keepNext/>
            </w:pPr>
          </w:p>
        </w:tc>
        <w:tc>
          <w:tcPr>
            <w:tcW w:w="375" w:type="dxa"/>
            <w:tcBorders>
              <w:top w:val="nil"/>
              <w:left w:val="nil"/>
              <w:bottom w:val="nil"/>
              <w:right w:val="nil"/>
            </w:tcBorders>
            <w:tcMar>
              <w:top w:w="0" w:type="dxa"/>
              <w:left w:w="0" w:type="dxa"/>
              <w:bottom w:w="0" w:type="dxa"/>
              <w:right w:w="0" w:type="dxa"/>
            </w:tcMar>
            <w:vAlign w:val="bottom"/>
          </w:tcPr>
          <w:p w14:paraId="425E9210"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41163D10"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D317312"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3D182E5D"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3B781CC"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11FB4B0D" w14:textId="77777777" w:rsidR="00D0338B" w:rsidRDefault="00D0338B">
            <w:pPr>
              <w:keepNext/>
            </w:pPr>
          </w:p>
        </w:tc>
      </w:tr>
      <w:tr w:rsidR="00D0338B" w14:paraId="61B54619" w14:textId="77777777">
        <w:trPr>
          <w:cantSplit/>
          <w:trHeight w:hRule="exact" w:val="255"/>
          <w:jc w:val="center"/>
        </w:trPr>
        <w:tc>
          <w:tcPr>
            <w:tcW w:w="10440" w:type="dxa"/>
            <w:gridSpan w:val="18"/>
            <w:tcBorders>
              <w:top w:val="nil"/>
              <w:left w:val="nil"/>
              <w:bottom w:val="nil"/>
              <w:right w:val="nil"/>
            </w:tcBorders>
            <w:tcMar>
              <w:top w:w="0" w:type="dxa"/>
              <w:left w:w="53" w:type="dxa"/>
              <w:bottom w:w="0" w:type="dxa"/>
              <w:right w:w="53" w:type="dxa"/>
            </w:tcMar>
            <w:vAlign w:val="bottom"/>
          </w:tcPr>
          <w:p w14:paraId="34FCCF9B" w14:textId="77777777" w:rsidR="00D0338B" w:rsidRDefault="00DB7EA0">
            <w:pPr>
              <w:keepNext/>
              <w:spacing w:before="53" w:after="30"/>
              <w:jc w:val="center"/>
            </w:pPr>
            <w:r>
              <w:rPr>
                <w:rFonts w:ascii="Arial" w:eastAsia="Arial" w:hAnsi="Arial" w:cs="Arial"/>
                <w:b/>
                <w:color w:val="000000"/>
                <w:sz w:val="16"/>
              </w:rPr>
              <w:t>Operating - Domestic &amp; International Electricity Sales (Unaudited)</w:t>
            </w:r>
          </w:p>
        </w:tc>
      </w:tr>
      <w:tr w:rsidR="00D0338B" w14:paraId="42AB61C0" w14:textId="77777777">
        <w:trPr>
          <w:cantSplit/>
          <w:trHeight w:hRule="exact" w:val="255"/>
          <w:jc w:val="center"/>
        </w:trPr>
        <w:tc>
          <w:tcPr>
            <w:tcW w:w="4095" w:type="dxa"/>
            <w:tcBorders>
              <w:top w:val="nil"/>
              <w:left w:val="nil"/>
              <w:bottom w:val="nil"/>
              <w:right w:val="nil"/>
            </w:tcBorders>
            <w:tcMar>
              <w:top w:w="0" w:type="dxa"/>
              <w:left w:w="0" w:type="dxa"/>
              <w:bottom w:w="0" w:type="dxa"/>
              <w:right w:w="0" w:type="dxa"/>
            </w:tcMar>
            <w:vAlign w:val="bottom"/>
          </w:tcPr>
          <w:p w14:paraId="024F104B"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2E30AD3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C72EC82"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7FE7FE8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21D8ACC"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4262554E" w14:textId="77777777" w:rsidR="00D0338B" w:rsidRDefault="00D0338B">
            <w:pPr>
              <w:keepNext/>
            </w:pPr>
          </w:p>
        </w:tc>
        <w:tc>
          <w:tcPr>
            <w:tcW w:w="375" w:type="dxa"/>
            <w:tcBorders>
              <w:top w:val="nil"/>
              <w:left w:val="nil"/>
              <w:bottom w:val="nil"/>
              <w:right w:val="nil"/>
            </w:tcBorders>
            <w:tcMar>
              <w:top w:w="0" w:type="dxa"/>
              <w:left w:w="0" w:type="dxa"/>
              <w:bottom w:w="0" w:type="dxa"/>
              <w:right w:w="0" w:type="dxa"/>
            </w:tcMar>
            <w:vAlign w:val="bottom"/>
          </w:tcPr>
          <w:p w14:paraId="516F56B9"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375EC954"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4A5E785A"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253BF08F"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7886BF4"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17A2267E" w14:textId="77777777" w:rsidR="00D0338B" w:rsidRDefault="00D0338B">
            <w:pPr>
              <w:keepNext/>
            </w:pPr>
          </w:p>
        </w:tc>
      </w:tr>
      <w:tr w:rsidR="00D0338B" w14:paraId="27079DA2" w14:textId="77777777">
        <w:trPr>
          <w:cantSplit/>
          <w:trHeight w:hRule="exact" w:val="420"/>
          <w:jc w:val="center"/>
        </w:trPr>
        <w:tc>
          <w:tcPr>
            <w:tcW w:w="4095" w:type="dxa"/>
            <w:tcBorders>
              <w:top w:val="nil"/>
              <w:left w:val="nil"/>
              <w:bottom w:val="nil"/>
              <w:right w:val="nil"/>
            </w:tcBorders>
            <w:tcMar>
              <w:top w:w="0" w:type="dxa"/>
              <w:left w:w="0" w:type="dxa"/>
              <w:bottom w:w="0" w:type="dxa"/>
              <w:right w:w="0" w:type="dxa"/>
            </w:tcMar>
            <w:vAlign w:val="bottom"/>
          </w:tcPr>
          <w:p w14:paraId="43D1E282" w14:textId="77777777" w:rsidR="00D0338B" w:rsidRDefault="00D0338B">
            <w:pPr>
              <w:keepNext/>
            </w:pPr>
          </w:p>
        </w:tc>
        <w:tc>
          <w:tcPr>
            <w:tcW w:w="1965" w:type="dxa"/>
            <w:gridSpan w:val="5"/>
            <w:tcBorders>
              <w:top w:val="nil"/>
              <w:left w:val="nil"/>
              <w:bottom w:val="single" w:sz="8" w:space="0" w:color="000000"/>
              <w:right w:val="nil"/>
            </w:tcBorders>
            <w:tcMar>
              <w:top w:w="0" w:type="dxa"/>
              <w:left w:w="53" w:type="dxa"/>
              <w:bottom w:w="0" w:type="dxa"/>
              <w:right w:w="53" w:type="dxa"/>
            </w:tcMar>
            <w:vAlign w:val="bottom"/>
          </w:tcPr>
          <w:p w14:paraId="65EB744F" w14:textId="77777777" w:rsidR="00D0338B" w:rsidRDefault="00DB7EA0">
            <w:pPr>
              <w:keepNext/>
              <w:spacing w:before="53" w:after="30"/>
              <w:jc w:val="center"/>
            </w:pPr>
            <w:r>
              <w:rPr>
                <w:rFonts w:ascii="Arial" w:eastAsia="Arial" w:hAnsi="Arial" w:cs="Arial"/>
                <w:b/>
                <w:color w:val="000000"/>
                <w:sz w:val="16"/>
              </w:rPr>
              <w:t>Three Months Ended December 31,</w:t>
            </w:r>
          </w:p>
        </w:tc>
        <w:tc>
          <w:tcPr>
            <w:tcW w:w="75" w:type="dxa"/>
            <w:tcBorders>
              <w:top w:val="nil"/>
              <w:left w:val="nil"/>
              <w:bottom w:val="nil"/>
              <w:right w:val="nil"/>
            </w:tcBorders>
            <w:tcMar>
              <w:top w:w="0" w:type="dxa"/>
              <w:left w:w="0" w:type="dxa"/>
              <w:bottom w:w="0" w:type="dxa"/>
              <w:right w:w="0" w:type="dxa"/>
            </w:tcMar>
            <w:vAlign w:val="bottom"/>
          </w:tcPr>
          <w:p w14:paraId="14D9E7CC"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069E4292" w14:textId="77777777" w:rsidR="00D0338B" w:rsidRDefault="00D0338B">
            <w:pPr>
              <w:keepNext/>
            </w:pPr>
          </w:p>
        </w:tc>
        <w:tc>
          <w:tcPr>
            <w:tcW w:w="375" w:type="dxa"/>
            <w:tcBorders>
              <w:top w:val="nil"/>
              <w:left w:val="nil"/>
              <w:bottom w:val="nil"/>
              <w:right w:val="nil"/>
            </w:tcBorders>
            <w:tcMar>
              <w:top w:w="0" w:type="dxa"/>
              <w:left w:w="0" w:type="dxa"/>
              <w:bottom w:w="0" w:type="dxa"/>
              <w:right w:w="0" w:type="dxa"/>
            </w:tcMar>
            <w:vAlign w:val="bottom"/>
          </w:tcPr>
          <w:p w14:paraId="006C9D21" w14:textId="77777777" w:rsidR="00D0338B" w:rsidRDefault="00D0338B">
            <w:pPr>
              <w:keepNext/>
            </w:pPr>
          </w:p>
        </w:tc>
        <w:tc>
          <w:tcPr>
            <w:tcW w:w="1965" w:type="dxa"/>
            <w:gridSpan w:val="5"/>
            <w:tcBorders>
              <w:top w:val="nil"/>
              <w:left w:val="nil"/>
              <w:bottom w:val="single" w:sz="8" w:space="0" w:color="000000"/>
              <w:right w:val="nil"/>
            </w:tcBorders>
            <w:tcMar>
              <w:top w:w="0" w:type="dxa"/>
              <w:left w:w="53" w:type="dxa"/>
              <w:bottom w:w="0" w:type="dxa"/>
              <w:right w:w="53" w:type="dxa"/>
            </w:tcMar>
            <w:vAlign w:val="bottom"/>
          </w:tcPr>
          <w:p w14:paraId="61D4B668" w14:textId="77777777" w:rsidR="00D0338B" w:rsidRDefault="00DB7EA0">
            <w:pPr>
              <w:keepNext/>
              <w:spacing w:before="53" w:after="30"/>
              <w:jc w:val="center"/>
            </w:pPr>
            <w:r>
              <w:rPr>
                <w:rFonts w:ascii="Arial" w:eastAsia="Arial" w:hAnsi="Arial" w:cs="Arial"/>
                <w:b/>
                <w:color w:val="000000"/>
                <w:sz w:val="16"/>
              </w:rPr>
              <w:t>Twelve Months Ended December 31,</w:t>
            </w:r>
          </w:p>
        </w:tc>
        <w:tc>
          <w:tcPr>
            <w:tcW w:w="75" w:type="dxa"/>
            <w:tcBorders>
              <w:top w:val="nil"/>
              <w:left w:val="nil"/>
              <w:bottom w:val="nil"/>
              <w:right w:val="nil"/>
            </w:tcBorders>
            <w:tcMar>
              <w:top w:w="0" w:type="dxa"/>
              <w:left w:w="0" w:type="dxa"/>
              <w:bottom w:w="0" w:type="dxa"/>
              <w:right w:w="0" w:type="dxa"/>
            </w:tcMar>
            <w:vAlign w:val="bottom"/>
          </w:tcPr>
          <w:p w14:paraId="38668F32"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5190472E" w14:textId="77777777" w:rsidR="00D0338B" w:rsidRDefault="00D0338B">
            <w:pPr>
              <w:keepNext/>
            </w:pPr>
          </w:p>
        </w:tc>
      </w:tr>
      <w:tr w:rsidR="00D0338B" w14:paraId="2CBEF812" w14:textId="77777777">
        <w:trPr>
          <w:cantSplit/>
          <w:trHeight w:hRule="exact" w:val="255"/>
          <w:jc w:val="center"/>
        </w:trPr>
        <w:tc>
          <w:tcPr>
            <w:tcW w:w="4095" w:type="dxa"/>
            <w:tcBorders>
              <w:top w:val="nil"/>
              <w:left w:val="nil"/>
              <w:bottom w:val="nil"/>
              <w:right w:val="nil"/>
            </w:tcBorders>
            <w:tcMar>
              <w:top w:w="0" w:type="dxa"/>
              <w:left w:w="0" w:type="dxa"/>
              <w:bottom w:w="0" w:type="dxa"/>
              <w:right w:w="0" w:type="dxa"/>
            </w:tcMar>
            <w:vAlign w:val="bottom"/>
          </w:tcPr>
          <w:p w14:paraId="6A37153C"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5E368047" w14:textId="77777777" w:rsidR="00D0338B" w:rsidRDefault="00D0338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6BE409B1"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2654CCB4"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E3DE38B" w14:textId="77777777" w:rsidR="00D0338B" w:rsidRDefault="00D0338B">
            <w:pPr>
              <w:keepNext/>
            </w:pPr>
          </w:p>
        </w:tc>
        <w:tc>
          <w:tcPr>
            <w:tcW w:w="945" w:type="dxa"/>
            <w:gridSpan w:val="2"/>
            <w:tcBorders>
              <w:top w:val="nil"/>
              <w:left w:val="nil"/>
              <w:bottom w:val="nil"/>
              <w:right w:val="nil"/>
            </w:tcBorders>
            <w:tcMar>
              <w:top w:w="0" w:type="dxa"/>
              <w:left w:w="53" w:type="dxa"/>
              <w:bottom w:w="0" w:type="dxa"/>
              <w:right w:w="53" w:type="dxa"/>
            </w:tcMar>
            <w:vAlign w:val="bottom"/>
          </w:tcPr>
          <w:p w14:paraId="474F1048" w14:textId="77777777" w:rsidR="00D0338B" w:rsidRDefault="00DB7EA0">
            <w:pPr>
              <w:keepNext/>
              <w:spacing w:before="53" w:after="30"/>
              <w:jc w:val="center"/>
            </w:pPr>
            <w:r>
              <w:rPr>
                <w:rFonts w:ascii="Arial" w:eastAsia="Arial" w:hAnsi="Arial" w:cs="Arial"/>
                <w:b/>
                <w:color w:val="000000"/>
                <w:sz w:val="16"/>
              </w:rPr>
              <w:t>Percent</w:t>
            </w:r>
          </w:p>
        </w:tc>
        <w:tc>
          <w:tcPr>
            <w:tcW w:w="375" w:type="dxa"/>
            <w:tcBorders>
              <w:top w:val="nil"/>
              <w:left w:val="nil"/>
              <w:bottom w:val="nil"/>
              <w:right w:val="nil"/>
            </w:tcBorders>
            <w:tcMar>
              <w:top w:w="0" w:type="dxa"/>
              <w:left w:w="0" w:type="dxa"/>
              <w:bottom w:w="0" w:type="dxa"/>
              <w:right w:w="0" w:type="dxa"/>
            </w:tcMar>
            <w:vAlign w:val="bottom"/>
          </w:tcPr>
          <w:p w14:paraId="3F306A41"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3F69201F" w14:textId="77777777" w:rsidR="00D0338B" w:rsidRDefault="00D0338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3F021D4E"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4F2AFD38"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F413CEA" w14:textId="77777777" w:rsidR="00D0338B" w:rsidRDefault="00D0338B">
            <w:pPr>
              <w:keepNext/>
            </w:pPr>
          </w:p>
        </w:tc>
        <w:tc>
          <w:tcPr>
            <w:tcW w:w="945" w:type="dxa"/>
            <w:gridSpan w:val="2"/>
            <w:tcBorders>
              <w:top w:val="nil"/>
              <w:left w:val="nil"/>
              <w:bottom w:val="nil"/>
              <w:right w:val="nil"/>
            </w:tcBorders>
            <w:tcMar>
              <w:top w:w="0" w:type="dxa"/>
              <w:left w:w="53" w:type="dxa"/>
              <w:bottom w:w="0" w:type="dxa"/>
              <w:right w:w="53" w:type="dxa"/>
            </w:tcMar>
            <w:vAlign w:val="bottom"/>
          </w:tcPr>
          <w:p w14:paraId="44CAA23E" w14:textId="77777777" w:rsidR="00D0338B" w:rsidRDefault="00DB7EA0">
            <w:pPr>
              <w:keepNext/>
              <w:spacing w:before="53" w:after="30"/>
              <w:jc w:val="center"/>
            </w:pPr>
            <w:r>
              <w:rPr>
                <w:rFonts w:ascii="Arial" w:eastAsia="Arial" w:hAnsi="Arial" w:cs="Arial"/>
                <w:b/>
                <w:color w:val="000000"/>
                <w:sz w:val="16"/>
              </w:rPr>
              <w:t>Percent</w:t>
            </w:r>
          </w:p>
        </w:tc>
      </w:tr>
      <w:tr w:rsidR="00D0338B" w14:paraId="74B756ED" w14:textId="77777777">
        <w:trPr>
          <w:cantSplit/>
          <w:trHeight w:hRule="exact" w:val="255"/>
          <w:jc w:val="center"/>
        </w:trPr>
        <w:tc>
          <w:tcPr>
            <w:tcW w:w="4095" w:type="dxa"/>
            <w:tcBorders>
              <w:top w:val="nil"/>
              <w:left w:val="nil"/>
              <w:bottom w:val="nil"/>
              <w:right w:val="nil"/>
            </w:tcBorders>
            <w:tcMar>
              <w:top w:w="0" w:type="dxa"/>
              <w:left w:w="53" w:type="dxa"/>
              <w:bottom w:w="0" w:type="dxa"/>
              <w:right w:w="53" w:type="dxa"/>
            </w:tcMar>
            <w:vAlign w:val="bottom"/>
          </w:tcPr>
          <w:p w14:paraId="353F9252" w14:textId="77777777" w:rsidR="00D0338B" w:rsidRDefault="00DB7EA0">
            <w:pPr>
              <w:keepNext/>
              <w:spacing w:before="53" w:after="30"/>
            </w:pPr>
            <w:r>
              <w:rPr>
                <w:rFonts w:ascii="Arial" w:eastAsia="Arial" w:hAnsi="Arial" w:cs="Arial"/>
                <w:color w:val="000000"/>
                <w:sz w:val="16"/>
              </w:rPr>
              <w:t>(GWh)</w:t>
            </w:r>
          </w:p>
        </w:tc>
        <w:tc>
          <w:tcPr>
            <w:tcW w:w="945" w:type="dxa"/>
            <w:gridSpan w:val="2"/>
            <w:tcBorders>
              <w:top w:val="nil"/>
              <w:left w:val="nil"/>
              <w:bottom w:val="single" w:sz="8" w:space="0" w:color="000000"/>
              <w:right w:val="nil"/>
            </w:tcBorders>
            <w:tcMar>
              <w:top w:w="0" w:type="dxa"/>
              <w:left w:w="53" w:type="dxa"/>
              <w:bottom w:w="0" w:type="dxa"/>
              <w:right w:w="53" w:type="dxa"/>
            </w:tcMar>
            <w:vAlign w:val="bottom"/>
          </w:tcPr>
          <w:p w14:paraId="62DD2E13" w14:textId="77777777" w:rsidR="00D0338B" w:rsidRDefault="00DB7EA0">
            <w:pPr>
              <w:keepNext/>
              <w:spacing w:before="53" w:after="30"/>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14:paraId="5A3D8A62" w14:textId="77777777" w:rsidR="00D0338B" w:rsidRDefault="00D0338B">
            <w:pPr>
              <w:keepNext/>
            </w:pPr>
          </w:p>
        </w:tc>
        <w:tc>
          <w:tcPr>
            <w:tcW w:w="945" w:type="dxa"/>
            <w:gridSpan w:val="2"/>
            <w:tcBorders>
              <w:top w:val="nil"/>
              <w:left w:val="nil"/>
              <w:bottom w:val="single" w:sz="8" w:space="0" w:color="000000"/>
              <w:right w:val="nil"/>
            </w:tcBorders>
            <w:tcMar>
              <w:top w:w="0" w:type="dxa"/>
              <w:left w:w="53" w:type="dxa"/>
              <w:bottom w:w="0" w:type="dxa"/>
              <w:right w:w="53" w:type="dxa"/>
            </w:tcMar>
            <w:vAlign w:val="bottom"/>
          </w:tcPr>
          <w:p w14:paraId="05F2B8A2" w14:textId="77777777" w:rsidR="00D0338B" w:rsidRDefault="00DB7EA0">
            <w:pPr>
              <w:keepNext/>
              <w:spacing w:before="53" w:after="30"/>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14:paraId="4BA1C8F6" w14:textId="77777777" w:rsidR="00D0338B" w:rsidRDefault="00D0338B">
            <w:pPr>
              <w:keepNext/>
            </w:pPr>
          </w:p>
        </w:tc>
        <w:tc>
          <w:tcPr>
            <w:tcW w:w="945" w:type="dxa"/>
            <w:gridSpan w:val="2"/>
            <w:tcBorders>
              <w:top w:val="nil"/>
              <w:left w:val="nil"/>
              <w:bottom w:val="single" w:sz="8" w:space="0" w:color="000000"/>
              <w:right w:val="nil"/>
            </w:tcBorders>
            <w:tcMar>
              <w:top w:w="0" w:type="dxa"/>
              <w:left w:w="53" w:type="dxa"/>
              <w:bottom w:w="0" w:type="dxa"/>
              <w:right w:w="53" w:type="dxa"/>
            </w:tcMar>
            <w:vAlign w:val="bottom"/>
          </w:tcPr>
          <w:p w14:paraId="18A7625B" w14:textId="77777777" w:rsidR="00D0338B" w:rsidRDefault="00DB7EA0">
            <w:pPr>
              <w:keepNext/>
              <w:spacing w:before="53" w:after="30"/>
              <w:jc w:val="center"/>
            </w:pPr>
            <w:r>
              <w:rPr>
                <w:rFonts w:ascii="Arial" w:eastAsia="Arial" w:hAnsi="Arial" w:cs="Arial"/>
                <w:b/>
                <w:color w:val="000000"/>
                <w:sz w:val="16"/>
              </w:rPr>
              <w:t>Change</w:t>
            </w:r>
          </w:p>
        </w:tc>
        <w:tc>
          <w:tcPr>
            <w:tcW w:w="375" w:type="dxa"/>
            <w:tcBorders>
              <w:top w:val="nil"/>
              <w:left w:val="nil"/>
              <w:bottom w:val="nil"/>
              <w:right w:val="nil"/>
            </w:tcBorders>
            <w:tcMar>
              <w:top w:w="0" w:type="dxa"/>
              <w:left w:w="0" w:type="dxa"/>
              <w:bottom w:w="0" w:type="dxa"/>
              <w:right w:w="0" w:type="dxa"/>
            </w:tcMar>
            <w:vAlign w:val="bottom"/>
          </w:tcPr>
          <w:p w14:paraId="6875007E" w14:textId="77777777" w:rsidR="00D0338B" w:rsidRDefault="00D0338B">
            <w:pPr>
              <w:keepNext/>
            </w:pPr>
          </w:p>
        </w:tc>
        <w:tc>
          <w:tcPr>
            <w:tcW w:w="945" w:type="dxa"/>
            <w:gridSpan w:val="2"/>
            <w:tcBorders>
              <w:top w:val="nil"/>
              <w:left w:val="nil"/>
              <w:bottom w:val="single" w:sz="8" w:space="0" w:color="000000"/>
              <w:right w:val="nil"/>
            </w:tcBorders>
            <w:tcMar>
              <w:top w:w="0" w:type="dxa"/>
              <w:left w:w="53" w:type="dxa"/>
              <w:bottom w:w="0" w:type="dxa"/>
              <w:right w:w="53" w:type="dxa"/>
            </w:tcMar>
            <w:vAlign w:val="bottom"/>
          </w:tcPr>
          <w:p w14:paraId="6BA0CDE5" w14:textId="77777777" w:rsidR="00D0338B" w:rsidRDefault="00DB7EA0">
            <w:pPr>
              <w:keepNext/>
              <w:spacing w:before="53" w:after="30"/>
              <w:jc w:val="center"/>
            </w:pPr>
            <w:r>
              <w:rPr>
                <w:rFonts w:ascii="Arial" w:eastAsia="Arial" w:hAnsi="Arial" w:cs="Arial"/>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14:paraId="1307A828" w14:textId="77777777" w:rsidR="00D0338B" w:rsidRDefault="00D0338B">
            <w:pPr>
              <w:keepNext/>
            </w:pPr>
          </w:p>
        </w:tc>
        <w:tc>
          <w:tcPr>
            <w:tcW w:w="945" w:type="dxa"/>
            <w:gridSpan w:val="2"/>
            <w:tcBorders>
              <w:top w:val="nil"/>
              <w:left w:val="nil"/>
              <w:bottom w:val="single" w:sz="8" w:space="0" w:color="000000"/>
              <w:right w:val="nil"/>
            </w:tcBorders>
            <w:tcMar>
              <w:top w:w="0" w:type="dxa"/>
              <w:left w:w="53" w:type="dxa"/>
              <w:bottom w:w="0" w:type="dxa"/>
              <w:right w:w="53" w:type="dxa"/>
            </w:tcMar>
            <w:vAlign w:val="bottom"/>
          </w:tcPr>
          <w:p w14:paraId="27CAB19E" w14:textId="77777777" w:rsidR="00D0338B" w:rsidRDefault="00DB7EA0">
            <w:pPr>
              <w:keepNext/>
              <w:spacing w:before="53" w:after="30"/>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14:paraId="260CBEE3" w14:textId="77777777" w:rsidR="00D0338B" w:rsidRDefault="00D0338B">
            <w:pPr>
              <w:keepNext/>
            </w:pPr>
          </w:p>
        </w:tc>
        <w:tc>
          <w:tcPr>
            <w:tcW w:w="945" w:type="dxa"/>
            <w:gridSpan w:val="2"/>
            <w:tcBorders>
              <w:top w:val="nil"/>
              <w:left w:val="nil"/>
              <w:bottom w:val="single" w:sz="8" w:space="0" w:color="000000"/>
              <w:right w:val="nil"/>
            </w:tcBorders>
            <w:tcMar>
              <w:top w:w="0" w:type="dxa"/>
              <w:left w:w="53" w:type="dxa"/>
              <w:bottom w:w="0" w:type="dxa"/>
              <w:right w:w="53" w:type="dxa"/>
            </w:tcMar>
            <w:vAlign w:val="bottom"/>
          </w:tcPr>
          <w:p w14:paraId="5203BEB0" w14:textId="77777777" w:rsidR="00D0338B" w:rsidRDefault="00DB7EA0">
            <w:pPr>
              <w:keepNext/>
              <w:spacing w:before="53" w:after="30"/>
              <w:jc w:val="center"/>
            </w:pPr>
            <w:r>
              <w:rPr>
                <w:rFonts w:ascii="Arial" w:eastAsia="Arial" w:hAnsi="Arial" w:cs="Arial"/>
                <w:b/>
                <w:color w:val="000000"/>
                <w:sz w:val="16"/>
              </w:rPr>
              <w:t>Change</w:t>
            </w:r>
          </w:p>
        </w:tc>
      </w:tr>
      <w:tr w:rsidR="00D0338B" w14:paraId="49A826C3" w14:textId="77777777">
        <w:trPr>
          <w:cantSplit/>
          <w:trHeight w:hRule="exact" w:val="255"/>
          <w:jc w:val="center"/>
        </w:trPr>
        <w:tc>
          <w:tcPr>
            <w:tcW w:w="4095" w:type="dxa"/>
            <w:tcBorders>
              <w:top w:val="nil"/>
              <w:left w:val="nil"/>
              <w:bottom w:val="nil"/>
              <w:right w:val="nil"/>
            </w:tcBorders>
            <w:tcMar>
              <w:top w:w="0" w:type="dxa"/>
              <w:left w:w="0" w:type="dxa"/>
              <w:bottom w:w="0" w:type="dxa"/>
              <w:right w:w="0" w:type="dxa"/>
            </w:tcMar>
            <w:vAlign w:val="bottom"/>
          </w:tcPr>
          <w:p w14:paraId="388EBF01"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57425B69"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7B9A104"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1762D01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44D53687"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4299B9C7" w14:textId="77777777" w:rsidR="00D0338B" w:rsidRDefault="00D0338B">
            <w:pPr>
              <w:keepNext/>
            </w:pPr>
          </w:p>
        </w:tc>
        <w:tc>
          <w:tcPr>
            <w:tcW w:w="375" w:type="dxa"/>
            <w:tcBorders>
              <w:top w:val="nil"/>
              <w:left w:val="nil"/>
              <w:bottom w:val="nil"/>
              <w:right w:val="nil"/>
            </w:tcBorders>
            <w:tcMar>
              <w:top w:w="0" w:type="dxa"/>
              <w:left w:w="0" w:type="dxa"/>
              <w:bottom w:w="0" w:type="dxa"/>
              <w:right w:w="0" w:type="dxa"/>
            </w:tcMar>
            <w:vAlign w:val="bottom"/>
          </w:tcPr>
          <w:p w14:paraId="1E78CDE1"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1B7EE84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EA11CAB"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35D5AD27"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16093B2" w14:textId="77777777" w:rsidR="00D0338B" w:rsidRDefault="00D0338B">
            <w:pPr>
              <w:keepNext/>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14:paraId="510F0E65" w14:textId="77777777" w:rsidR="00D0338B" w:rsidRDefault="00D0338B">
            <w:pPr>
              <w:keepNext/>
            </w:pPr>
          </w:p>
        </w:tc>
      </w:tr>
      <w:tr w:rsidR="00D0338B" w14:paraId="04DEF6E1" w14:textId="77777777">
        <w:trPr>
          <w:cantSplit/>
          <w:trHeight w:hRule="exact" w:val="255"/>
          <w:jc w:val="center"/>
        </w:trPr>
        <w:tc>
          <w:tcPr>
            <w:tcW w:w="4095" w:type="dxa"/>
            <w:tcBorders>
              <w:top w:val="nil"/>
              <w:left w:val="nil"/>
              <w:bottom w:val="nil"/>
              <w:right w:val="nil"/>
            </w:tcBorders>
            <w:tcMar>
              <w:top w:w="0" w:type="dxa"/>
              <w:left w:w="53" w:type="dxa"/>
              <w:bottom w:w="0" w:type="dxa"/>
              <w:right w:w="53" w:type="dxa"/>
            </w:tcMar>
            <w:vAlign w:val="bottom"/>
          </w:tcPr>
          <w:p w14:paraId="52E3DA29" w14:textId="77777777" w:rsidR="00D0338B" w:rsidRDefault="00DB7EA0">
            <w:pPr>
              <w:keepNext/>
              <w:spacing w:before="53" w:after="30"/>
            </w:pPr>
            <w:r>
              <w:rPr>
                <w:rFonts w:ascii="Arial" w:eastAsia="Arial" w:hAnsi="Arial" w:cs="Arial"/>
                <w:b/>
                <w:color w:val="000000"/>
                <w:sz w:val="16"/>
              </w:rPr>
              <w:t>PA Regulated Segment</w:t>
            </w:r>
          </w:p>
        </w:tc>
        <w:tc>
          <w:tcPr>
            <w:tcW w:w="945" w:type="dxa"/>
            <w:gridSpan w:val="2"/>
            <w:tcBorders>
              <w:top w:val="nil"/>
              <w:left w:val="nil"/>
              <w:bottom w:val="single" w:sz="8" w:space="0" w:color="000000"/>
              <w:right w:val="nil"/>
            </w:tcBorders>
            <w:tcMar>
              <w:top w:w="0" w:type="dxa"/>
              <w:left w:w="0" w:type="dxa"/>
              <w:bottom w:w="0" w:type="dxa"/>
              <w:right w:w="0" w:type="dxa"/>
            </w:tcMar>
            <w:vAlign w:val="bottom"/>
          </w:tcPr>
          <w:p w14:paraId="0A35302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35846F01" w14:textId="77777777" w:rsidR="00D0338B" w:rsidRDefault="00D0338B">
            <w:pPr>
              <w:keepNext/>
            </w:pPr>
          </w:p>
        </w:tc>
        <w:tc>
          <w:tcPr>
            <w:tcW w:w="945" w:type="dxa"/>
            <w:gridSpan w:val="2"/>
            <w:tcBorders>
              <w:top w:val="nil"/>
              <w:left w:val="nil"/>
              <w:bottom w:val="single" w:sz="8" w:space="0" w:color="000000"/>
              <w:right w:val="nil"/>
            </w:tcBorders>
            <w:tcMar>
              <w:top w:w="0" w:type="dxa"/>
              <w:left w:w="0" w:type="dxa"/>
              <w:bottom w:w="0" w:type="dxa"/>
              <w:right w:w="0" w:type="dxa"/>
            </w:tcMar>
            <w:vAlign w:val="bottom"/>
          </w:tcPr>
          <w:p w14:paraId="34A34D5C"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77DB8DA6"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3CD6013B" w14:textId="77777777" w:rsidR="00D0338B" w:rsidRDefault="00D0338B">
            <w:pPr>
              <w:keepNext/>
            </w:pPr>
          </w:p>
        </w:tc>
        <w:tc>
          <w:tcPr>
            <w:tcW w:w="375" w:type="dxa"/>
            <w:tcBorders>
              <w:top w:val="nil"/>
              <w:left w:val="nil"/>
              <w:bottom w:val="nil"/>
              <w:right w:val="nil"/>
            </w:tcBorders>
            <w:tcMar>
              <w:top w:w="0" w:type="dxa"/>
              <w:left w:w="0" w:type="dxa"/>
              <w:bottom w:w="0" w:type="dxa"/>
              <w:right w:w="0" w:type="dxa"/>
            </w:tcMar>
            <w:vAlign w:val="bottom"/>
          </w:tcPr>
          <w:p w14:paraId="78FA0BDF" w14:textId="77777777" w:rsidR="00D0338B" w:rsidRDefault="00D0338B">
            <w:pPr>
              <w:keepNext/>
            </w:pPr>
          </w:p>
        </w:tc>
        <w:tc>
          <w:tcPr>
            <w:tcW w:w="945" w:type="dxa"/>
            <w:gridSpan w:val="2"/>
            <w:tcBorders>
              <w:top w:val="nil"/>
              <w:left w:val="nil"/>
              <w:bottom w:val="single" w:sz="8" w:space="0" w:color="000000"/>
              <w:right w:val="nil"/>
            </w:tcBorders>
            <w:tcMar>
              <w:top w:w="0" w:type="dxa"/>
              <w:left w:w="0" w:type="dxa"/>
              <w:bottom w:w="0" w:type="dxa"/>
              <w:right w:w="0" w:type="dxa"/>
            </w:tcMar>
            <w:vAlign w:val="bottom"/>
          </w:tcPr>
          <w:p w14:paraId="2BA6693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A20337C" w14:textId="77777777" w:rsidR="00D0338B" w:rsidRDefault="00D0338B">
            <w:pPr>
              <w:keepNext/>
            </w:pPr>
          </w:p>
        </w:tc>
        <w:tc>
          <w:tcPr>
            <w:tcW w:w="945" w:type="dxa"/>
            <w:gridSpan w:val="2"/>
            <w:tcBorders>
              <w:top w:val="nil"/>
              <w:left w:val="nil"/>
              <w:bottom w:val="single" w:sz="8" w:space="0" w:color="000000"/>
              <w:right w:val="nil"/>
            </w:tcBorders>
            <w:tcMar>
              <w:top w:w="0" w:type="dxa"/>
              <w:left w:w="0" w:type="dxa"/>
              <w:bottom w:w="0" w:type="dxa"/>
              <w:right w:w="0" w:type="dxa"/>
            </w:tcMar>
            <w:vAlign w:val="bottom"/>
          </w:tcPr>
          <w:p w14:paraId="3063EC39"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46A07D3" w14:textId="77777777" w:rsidR="00D0338B" w:rsidRDefault="00D0338B">
            <w:pPr>
              <w:keepNext/>
            </w:pPr>
          </w:p>
        </w:tc>
        <w:tc>
          <w:tcPr>
            <w:tcW w:w="945" w:type="dxa"/>
            <w:gridSpan w:val="2"/>
            <w:tcBorders>
              <w:top w:val="nil"/>
              <w:left w:val="nil"/>
              <w:bottom w:val="nil"/>
              <w:right w:val="nil"/>
            </w:tcBorders>
            <w:tcMar>
              <w:top w:w="0" w:type="dxa"/>
              <w:left w:w="0" w:type="dxa"/>
              <w:bottom w:w="0" w:type="dxa"/>
              <w:right w:w="0" w:type="dxa"/>
            </w:tcMar>
            <w:vAlign w:val="bottom"/>
          </w:tcPr>
          <w:p w14:paraId="72BAD735" w14:textId="77777777" w:rsidR="00D0338B" w:rsidRDefault="00D0338B">
            <w:pPr>
              <w:keepNext/>
            </w:pPr>
          </w:p>
        </w:tc>
      </w:tr>
      <w:tr w:rsidR="00D0338B" w14:paraId="15C9307A" w14:textId="77777777">
        <w:trPr>
          <w:cantSplit/>
          <w:trHeight w:hRule="exact" w:val="255"/>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14:paraId="78B1DB7E" w14:textId="77777777" w:rsidR="00D0338B" w:rsidRDefault="00DB7EA0">
            <w:pPr>
              <w:keepNext/>
              <w:spacing w:before="53" w:after="30"/>
              <w:ind w:left="135"/>
            </w:pPr>
            <w:r>
              <w:rPr>
                <w:rFonts w:ascii="Arial" w:eastAsia="Arial" w:hAnsi="Arial" w:cs="Arial"/>
                <w:color w:val="000000"/>
                <w:sz w:val="16"/>
              </w:rPr>
              <w:t>Retail Delivered</w:t>
            </w: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A3E7518" w14:textId="77777777" w:rsidR="00D0338B" w:rsidRDefault="00DB7EA0">
            <w:pPr>
              <w:keepNext/>
              <w:spacing w:before="33" w:after="30"/>
              <w:jc w:val="right"/>
            </w:pPr>
            <w:r>
              <w:rPr>
                <w:rFonts w:ascii="Arial" w:eastAsia="Arial" w:hAnsi="Arial" w:cs="Arial"/>
                <w:color w:val="000000"/>
                <w:sz w:val="16"/>
              </w:rPr>
              <w:t>8,870 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91F1188"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F052E4"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9A8CF6B" w14:textId="77777777" w:rsidR="00D0338B" w:rsidRDefault="00DB7EA0">
            <w:pPr>
              <w:keepNext/>
              <w:spacing w:before="33" w:after="30"/>
              <w:jc w:val="right"/>
            </w:pPr>
            <w:r>
              <w:rPr>
                <w:rFonts w:ascii="Arial" w:eastAsia="Arial" w:hAnsi="Arial" w:cs="Arial"/>
                <w:color w:val="000000"/>
                <w:sz w:val="16"/>
              </w:rPr>
              <w:t>9,094 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C2A067F"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48330B" w14:textId="77777777" w:rsidR="00D0338B" w:rsidRDefault="00D0338B">
            <w:pPr>
              <w:keepNext/>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14:paraId="23DAFF0B" w14:textId="77777777" w:rsidR="00D0338B" w:rsidRDefault="00DB7EA0">
            <w:pPr>
              <w:keepNext/>
              <w:spacing w:before="53" w:after="30"/>
              <w:jc w:val="right"/>
            </w:pPr>
            <w:r>
              <w:rPr>
                <w:rFonts w:ascii="Arial" w:eastAsia="Arial" w:hAnsi="Arial" w:cs="Arial"/>
                <w:color w:val="000000"/>
                <w:sz w:val="16"/>
              </w:rPr>
              <w:t>(2.5)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771EDE" w14:textId="77777777" w:rsidR="00D0338B" w:rsidRDefault="00DB7EA0">
            <w:pPr>
              <w:keepNext/>
              <w:spacing w:before="53" w:after="30"/>
              <w:jc w:val="right"/>
            </w:pPr>
            <w:r>
              <w:rPr>
                <w:rFonts w:ascii="Arial" w:eastAsia="Arial" w:hAnsi="Arial" w:cs="Arial"/>
                <w:color w:val="000000"/>
                <w:sz w:val="16"/>
              </w:rPr>
              <w:t>%</w:t>
            </w:r>
          </w:p>
        </w:tc>
        <w:tc>
          <w:tcPr>
            <w:tcW w:w="375" w:type="dxa"/>
            <w:tcBorders>
              <w:top w:val="nil"/>
              <w:left w:val="nil"/>
              <w:bottom w:val="nil"/>
              <w:right w:val="nil"/>
            </w:tcBorders>
            <w:shd w:val="clear" w:color="auto" w:fill="CCEEFF"/>
            <w:tcMar>
              <w:top w:w="0" w:type="dxa"/>
              <w:left w:w="0" w:type="dxa"/>
              <w:bottom w:w="0" w:type="dxa"/>
              <w:right w:w="0" w:type="dxa"/>
            </w:tcMar>
            <w:vAlign w:val="bottom"/>
          </w:tcPr>
          <w:p w14:paraId="2BE7E445"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A2CF8B0" w14:textId="77777777" w:rsidR="00D0338B" w:rsidRDefault="00DB7EA0">
            <w:pPr>
              <w:keepNext/>
              <w:spacing w:before="33" w:after="30"/>
              <w:jc w:val="right"/>
            </w:pPr>
            <w:r>
              <w:rPr>
                <w:rFonts w:ascii="Arial" w:eastAsia="Arial" w:hAnsi="Arial" w:cs="Arial"/>
                <w:color w:val="000000"/>
                <w:sz w:val="16"/>
              </w:rPr>
              <w:t>36,008 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A4D7F0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0F42EC"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68762F4" w14:textId="77777777" w:rsidR="00D0338B" w:rsidRDefault="00DB7EA0">
            <w:pPr>
              <w:keepNext/>
              <w:spacing w:before="33" w:after="30"/>
              <w:jc w:val="right"/>
            </w:pPr>
            <w:r>
              <w:rPr>
                <w:rFonts w:ascii="Arial" w:eastAsia="Arial" w:hAnsi="Arial" w:cs="Arial"/>
                <w:color w:val="000000"/>
                <w:sz w:val="16"/>
              </w:rPr>
              <w:t>37,024 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2EBF101"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8955FB" w14:textId="77777777" w:rsidR="00D0338B" w:rsidRDefault="00D0338B">
            <w:pPr>
              <w:keepNext/>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14:paraId="1FB454E1" w14:textId="77777777" w:rsidR="00D0338B" w:rsidRDefault="00DB7EA0">
            <w:pPr>
              <w:keepNext/>
              <w:spacing w:before="53" w:after="30"/>
              <w:jc w:val="right"/>
            </w:pPr>
            <w:r>
              <w:rPr>
                <w:rFonts w:ascii="Arial" w:eastAsia="Arial" w:hAnsi="Arial" w:cs="Arial"/>
                <w:color w:val="000000"/>
                <w:sz w:val="16"/>
              </w:rPr>
              <w:t>(2.7)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4290C49" w14:textId="77777777" w:rsidR="00D0338B" w:rsidRDefault="00DB7EA0">
            <w:pPr>
              <w:keepNext/>
              <w:spacing w:before="53" w:after="30"/>
              <w:jc w:val="right"/>
            </w:pPr>
            <w:r>
              <w:rPr>
                <w:rFonts w:ascii="Arial" w:eastAsia="Arial" w:hAnsi="Arial" w:cs="Arial"/>
                <w:color w:val="000000"/>
                <w:sz w:val="16"/>
              </w:rPr>
              <w:t>%</w:t>
            </w:r>
          </w:p>
        </w:tc>
      </w:tr>
      <w:tr w:rsidR="00D0338B" w14:paraId="05E62BDC" w14:textId="77777777">
        <w:trPr>
          <w:cantSplit/>
          <w:trHeight w:hRule="exact" w:val="255"/>
          <w:jc w:val="center"/>
        </w:trPr>
        <w:tc>
          <w:tcPr>
            <w:tcW w:w="4095" w:type="dxa"/>
            <w:tcBorders>
              <w:top w:val="nil"/>
              <w:left w:val="nil"/>
              <w:bottom w:val="nil"/>
              <w:right w:val="nil"/>
            </w:tcBorders>
            <w:shd w:val="clear" w:color="auto" w:fill="FFFFFF"/>
            <w:tcMar>
              <w:top w:w="0" w:type="dxa"/>
              <w:left w:w="0" w:type="dxa"/>
              <w:bottom w:w="0" w:type="dxa"/>
              <w:right w:w="0" w:type="dxa"/>
            </w:tcMar>
            <w:vAlign w:val="bottom"/>
          </w:tcPr>
          <w:p w14:paraId="625577A2" w14:textId="77777777" w:rsidR="00D0338B" w:rsidRDefault="00D0338B">
            <w:pPr>
              <w:keepNext/>
            </w:pPr>
          </w:p>
        </w:tc>
        <w:tc>
          <w:tcPr>
            <w:tcW w:w="94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14:paraId="03DB6E5A"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2526C6" w14:textId="77777777" w:rsidR="00D0338B" w:rsidRDefault="00D0338B">
            <w:pPr>
              <w:keepNext/>
            </w:pPr>
          </w:p>
        </w:tc>
        <w:tc>
          <w:tcPr>
            <w:tcW w:w="94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14:paraId="704D369E"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35508B" w14:textId="77777777" w:rsidR="00D0338B" w:rsidRDefault="00D0338B">
            <w:pPr>
              <w:keepNext/>
            </w:pPr>
          </w:p>
        </w:tc>
        <w:tc>
          <w:tcPr>
            <w:tcW w:w="945" w:type="dxa"/>
            <w:gridSpan w:val="2"/>
            <w:tcBorders>
              <w:top w:val="nil"/>
              <w:left w:val="nil"/>
              <w:bottom w:val="nil"/>
              <w:right w:val="nil"/>
            </w:tcBorders>
            <w:shd w:val="clear" w:color="auto" w:fill="FFFFFF"/>
            <w:tcMar>
              <w:top w:w="0" w:type="dxa"/>
              <w:left w:w="0" w:type="dxa"/>
              <w:bottom w:w="0" w:type="dxa"/>
              <w:right w:w="0" w:type="dxa"/>
            </w:tcMar>
            <w:vAlign w:val="bottom"/>
          </w:tcPr>
          <w:p w14:paraId="615FDC28" w14:textId="77777777" w:rsidR="00D0338B" w:rsidRDefault="00D0338B">
            <w:pPr>
              <w:keepNext/>
            </w:pPr>
          </w:p>
        </w:tc>
        <w:tc>
          <w:tcPr>
            <w:tcW w:w="375" w:type="dxa"/>
            <w:tcBorders>
              <w:top w:val="nil"/>
              <w:left w:val="nil"/>
              <w:bottom w:val="nil"/>
              <w:right w:val="nil"/>
            </w:tcBorders>
            <w:shd w:val="clear" w:color="auto" w:fill="FFFFFF"/>
            <w:tcMar>
              <w:top w:w="0" w:type="dxa"/>
              <w:left w:w="0" w:type="dxa"/>
              <w:bottom w:w="0" w:type="dxa"/>
              <w:right w:w="0" w:type="dxa"/>
            </w:tcMar>
            <w:vAlign w:val="bottom"/>
          </w:tcPr>
          <w:p w14:paraId="358DC771" w14:textId="77777777" w:rsidR="00D0338B" w:rsidRDefault="00D0338B">
            <w:pPr>
              <w:keepNext/>
            </w:pPr>
          </w:p>
        </w:tc>
        <w:tc>
          <w:tcPr>
            <w:tcW w:w="94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14:paraId="1B291CE2"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45D3FC" w14:textId="77777777" w:rsidR="00D0338B" w:rsidRDefault="00D0338B">
            <w:pPr>
              <w:keepNext/>
            </w:pPr>
          </w:p>
        </w:tc>
        <w:tc>
          <w:tcPr>
            <w:tcW w:w="94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14:paraId="78E221C4"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365763" w14:textId="77777777" w:rsidR="00D0338B" w:rsidRDefault="00D0338B">
            <w:pPr>
              <w:keepNext/>
            </w:pPr>
          </w:p>
        </w:tc>
        <w:tc>
          <w:tcPr>
            <w:tcW w:w="945" w:type="dxa"/>
            <w:gridSpan w:val="2"/>
            <w:tcBorders>
              <w:top w:val="nil"/>
              <w:left w:val="nil"/>
              <w:bottom w:val="nil"/>
              <w:right w:val="nil"/>
            </w:tcBorders>
            <w:shd w:val="clear" w:color="auto" w:fill="FFFFFF"/>
            <w:tcMar>
              <w:top w:w="0" w:type="dxa"/>
              <w:left w:w="0" w:type="dxa"/>
              <w:bottom w:w="0" w:type="dxa"/>
              <w:right w:w="0" w:type="dxa"/>
            </w:tcMar>
            <w:vAlign w:val="bottom"/>
          </w:tcPr>
          <w:p w14:paraId="3DC33C1E" w14:textId="77777777" w:rsidR="00D0338B" w:rsidRDefault="00D0338B">
            <w:pPr>
              <w:keepNext/>
            </w:pPr>
          </w:p>
        </w:tc>
      </w:tr>
      <w:tr w:rsidR="00D0338B" w14:paraId="5205FB81" w14:textId="77777777">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14:paraId="6A2D4C0B" w14:textId="77777777" w:rsidR="00D0338B" w:rsidRDefault="00DB7EA0">
            <w:pPr>
              <w:keepNext/>
              <w:spacing w:before="53" w:after="30"/>
            </w:pPr>
            <w:r>
              <w:rPr>
                <w:rFonts w:ascii="Arial" w:eastAsia="Arial" w:hAnsi="Arial" w:cs="Arial"/>
                <w:b/>
                <w:color w:val="000000"/>
                <w:sz w:val="16"/>
              </w:rPr>
              <w:t>KY Regulated Segment</w:t>
            </w: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66CB39E1"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785E8F"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2DD0440E"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CF9817"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1C0A7D61" w14:textId="77777777" w:rsidR="00D0338B" w:rsidRDefault="00D0338B">
            <w:pPr>
              <w:keepNext/>
            </w:pPr>
          </w:p>
        </w:tc>
        <w:tc>
          <w:tcPr>
            <w:tcW w:w="375" w:type="dxa"/>
            <w:tcBorders>
              <w:top w:val="nil"/>
              <w:left w:val="nil"/>
              <w:bottom w:val="nil"/>
              <w:right w:val="nil"/>
            </w:tcBorders>
            <w:shd w:val="clear" w:color="auto" w:fill="CCEEFF"/>
            <w:tcMar>
              <w:top w:w="0" w:type="dxa"/>
              <w:left w:w="0" w:type="dxa"/>
              <w:bottom w:w="0" w:type="dxa"/>
              <w:right w:w="0" w:type="dxa"/>
            </w:tcMar>
            <w:vAlign w:val="bottom"/>
          </w:tcPr>
          <w:p w14:paraId="5978AF9A"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05F59E16"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BE5E20"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342DCAF1"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CF46CE"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39DC4313" w14:textId="77777777" w:rsidR="00D0338B" w:rsidRDefault="00D0338B">
            <w:pPr>
              <w:keepNext/>
            </w:pPr>
          </w:p>
        </w:tc>
      </w:tr>
      <w:tr w:rsidR="00D0338B" w14:paraId="55C39F09" w14:textId="77777777">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14:paraId="4A8E6844" w14:textId="77777777" w:rsidR="00D0338B" w:rsidRDefault="00DB7EA0">
            <w:pPr>
              <w:keepNext/>
              <w:spacing w:before="53" w:after="30"/>
              <w:ind w:left="135"/>
            </w:pPr>
            <w:r>
              <w:rPr>
                <w:rFonts w:ascii="Arial" w:eastAsia="Arial" w:hAnsi="Arial" w:cs="Arial"/>
                <w:color w:val="000000"/>
                <w:sz w:val="16"/>
              </w:rPr>
              <w:t>Retail Delivered</w:t>
            </w: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5442E1D4" w14:textId="77777777" w:rsidR="00D0338B" w:rsidRDefault="00DB7EA0">
            <w:pPr>
              <w:keepNext/>
              <w:spacing w:before="53" w:after="30"/>
              <w:jc w:val="right"/>
            </w:pPr>
            <w:r>
              <w:rPr>
                <w:rFonts w:ascii="Arial" w:eastAsia="Arial" w:hAnsi="Arial" w:cs="Arial"/>
                <w:color w:val="000000"/>
                <w:sz w:val="16"/>
              </w:rPr>
              <w:t>6,882 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DE55CA"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8DDCB6"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5D58D9AE" w14:textId="77777777" w:rsidR="00D0338B" w:rsidRDefault="00DB7EA0">
            <w:pPr>
              <w:keepNext/>
              <w:spacing w:before="53" w:after="30"/>
              <w:jc w:val="right"/>
            </w:pPr>
            <w:r>
              <w:rPr>
                <w:rFonts w:ascii="Arial" w:eastAsia="Arial" w:hAnsi="Arial" w:cs="Arial"/>
                <w:color w:val="000000"/>
                <w:sz w:val="16"/>
              </w:rPr>
              <w:t>7,028 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A3BE75"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CE5012"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6DE2738A" w14:textId="77777777" w:rsidR="00D0338B" w:rsidRDefault="00DB7EA0">
            <w:pPr>
              <w:keepNext/>
              <w:spacing w:before="53" w:after="30"/>
              <w:jc w:val="right"/>
            </w:pPr>
            <w:r>
              <w:rPr>
                <w:rFonts w:ascii="Arial" w:eastAsia="Arial" w:hAnsi="Arial" w:cs="Arial"/>
                <w:color w:val="000000"/>
                <w:sz w:val="16"/>
              </w:rPr>
              <w:t>(2.1)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3776D65" w14:textId="77777777" w:rsidR="00D0338B" w:rsidRDefault="00DB7EA0">
            <w:pPr>
              <w:keepNext/>
              <w:spacing w:before="53" w:after="30"/>
              <w:jc w:val="right"/>
            </w:pPr>
            <w:r>
              <w:rPr>
                <w:rFonts w:ascii="Arial" w:eastAsia="Arial" w:hAnsi="Arial" w:cs="Arial"/>
                <w:color w:val="000000"/>
                <w:sz w:val="16"/>
              </w:rPr>
              <w:t>%</w:t>
            </w:r>
          </w:p>
        </w:tc>
        <w:tc>
          <w:tcPr>
            <w:tcW w:w="375" w:type="dxa"/>
            <w:tcBorders>
              <w:top w:val="nil"/>
              <w:left w:val="nil"/>
              <w:bottom w:val="nil"/>
              <w:right w:val="nil"/>
            </w:tcBorders>
            <w:shd w:val="clear" w:color="auto" w:fill="FFFFFF"/>
            <w:tcMar>
              <w:top w:w="0" w:type="dxa"/>
              <w:left w:w="0" w:type="dxa"/>
              <w:bottom w:w="0" w:type="dxa"/>
              <w:right w:w="0" w:type="dxa"/>
            </w:tcMar>
            <w:vAlign w:val="bottom"/>
          </w:tcPr>
          <w:p w14:paraId="37AC83B3"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704532DB" w14:textId="77777777" w:rsidR="00D0338B" w:rsidRDefault="00DB7EA0">
            <w:pPr>
              <w:keepNext/>
              <w:spacing w:before="53" w:after="30"/>
              <w:jc w:val="right"/>
            </w:pPr>
            <w:r>
              <w:rPr>
                <w:rFonts w:ascii="Arial" w:eastAsia="Arial" w:hAnsi="Arial" w:cs="Arial"/>
                <w:color w:val="000000"/>
                <w:sz w:val="16"/>
              </w:rPr>
              <w:t>28,474 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BCEAAE"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83D713"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0FDEC0C8" w14:textId="77777777" w:rsidR="00D0338B" w:rsidRDefault="00DB7EA0">
            <w:pPr>
              <w:keepNext/>
              <w:spacing w:before="53" w:after="30"/>
              <w:jc w:val="right"/>
            </w:pPr>
            <w:r>
              <w:rPr>
                <w:rFonts w:ascii="Arial" w:eastAsia="Arial" w:hAnsi="Arial" w:cs="Arial"/>
                <w:color w:val="000000"/>
                <w:sz w:val="16"/>
              </w:rPr>
              <w:t>30,214 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967A11"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D5CDF7"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774B7D3B" w14:textId="77777777" w:rsidR="00D0338B" w:rsidRDefault="00DB7EA0">
            <w:pPr>
              <w:keepNext/>
              <w:spacing w:before="53" w:after="30"/>
              <w:jc w:val="right"/>
            </w:pPr>
            <w:r>
              <w:rPr>
                <w:rFonts w:ascii="Arial" w:eastAsia="Arial" w:hAnsi="Arial" w:cs="Arial"/>
                <w:color w:val="000000"/>
                <w:sz w:val="16"/>
              </w:rPr>
              <w:t>(5.8)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6102E0E" w14:textId="77777777" w:rsidR="00D0338B" w:rsidRDefault="00DB7EA0">
            <w:pPr>
              <w:keepNext/>
              <w:spacing w:before="53" w:after="30"/>
              <w:jc w:val="right"/>
            </w:pPr>
            <w:r>
              <w:rPr>
                <w:rFonts w:ascii="Arial" w:eastAsia="Arial" w:hAnsi="Arial" w:cs="Arial"/>
                <w:color w:val="000000"/>
                <w:sz w:val="16"/>
              </w:rPr>
              <w:t>%</w:t>
            </w:r>
          </w:p>
        </w:tc>
      </w:tr>
      <w:tr w:rsidR="00D0338B" w14:paraId="4D0C5E16" w14:textId="77777777">
        <w:trPr>
          <w:cantSplit/>
          <w:trHeight w:hRule="exact" w:val="300"/>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14:paraId="4CB8EED7" w14:textId="77777777" w:rsidR="00D0338B" w:rsidRDefault="00DB7EA0">
            <w:pPr>
              <w:keepNext/>
              <w:spacing w:before="53" w:after="30"/>
              <w:ind w:left="135"/>
              <w:outlineLvl w:val="0"/>
              <w:rPr>
                <w:rFonts w:ascii="Arial" w:eastAsia="Arial" w:hAnsi="Arial" w:cs="Arial"/>
                <w:sz w:val="16"/>
              </w:rPr>
            </w:pPr>
            <w:r>
              <w:rPr>
                <w:rFonts w:ascii="Arial" w:eastAsia="Arial" w:hAnsi="Arial" w:cs="Arial"/>
                <w:sz w:val="16"/>
              </w:rPr>
              <w:t xml:space="preserve">Wholesale </w:t>
            </w:r>
            <w:r>
              <w:rPr>
                <w:rFonts w:ascii="Arial" w:eastAsia="Arial" w:hAnsi="Arial" w:cs="Arial"/>
                <w:sz w:val="16"/>
                <w:vertAlign w:val="superscript"/>
              </w:rPr>
              <w:t>(1)</w:t>
            </w:r>
          </w:p>
        </w:tc>
        <w:tc>
          <w:tcPr>
            <w:tcW w:w="8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6DAF8E63" w14:textId="77777777" w:rsidR="00D0338B" w:rsidRDefault="00DB7EA0">
            <w:pPr>
              <w:keepNext/>
              <w:spacing w:before="53" w:after="30"/>
              <w:jc w:val="right"/>
            </w:pPr>
            <w:r>
              <w:rPr>
                <w:rFonts w:ascii="Arial" w:eastAsia="Arial" w:hAnsi="Arial" w:cs="Arial"/>
                <w:color w:val="000000"/>
                <w:sz w:val="16"/>
              </w:rPr>
              <w:t>150 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2F65578"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39867B" w14:textId="77777777" w:rsidR="00D0338B" w:rsidRDefault="00D0338B">
            <w:pPr>
              <w:keepNext/>
            </w:pPr>
          </w:p>
        </w:tc>
        <w:tc>
          <w:tcPr>
            <w:tcW w:w="8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1CE8E4C5" w14:textId="77777777" w:rsidR="00D0338B" w:rsidRDefault="00DB7EA0">
            <w:pPr>
              <w:keepNext/>
              <w:spacing w:before="53" w:after="30"/>
              <w:jc w:val="right"/>
            </w:pPr>
            <w:r>
              <w:rPr>
                <w:rFonts w:ascii="Arial" w:eastAsia="Arial" w:hAnsi="Arial" w:cs="Arial"/>
                <w:color w:val="000000"/>
                <w:sz w:val="16"/>
              </w:rPr>
              <w:t>171 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D9D1A02"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FB7A4B" w14:textId="77777777" w:rsidR="00D0338B" w:rsidRDefault="00D0338B">
            <w:pPr>
              <w:keepNext/>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14:paraId="108F7899" w14:textId="77777777" w:rsidR="00D0338B" w:rsidRDefault="00DB7EA0">
            <w:pPr>
              <w:keepNext/>
              <w:spacing w:before="53" w:after="30"/>
              <w:jc w:val="right"/>
            </w:pPr>
            <w:r>
              <w:rPr>
                <w:rFonts w:ascii="Arial" w:eastAsia="Arial" w:hAnsi="Arial" w:cs="Arial"/>
                <w:color w:val="000000"/>
                <w:sz w:val="16"/>
              </w:rPr>
              <w:t>(12.3)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12480B" w14:textId="77777777" w:rsidR="00D0338B" w:rsidRDefault="00DB7EA0">
            <w:pPr>
              <w:keepNext/>
              <w:spacing w:before="53" w:after="30"/>
              <w:jc w:val="right"/>
            </w:pPr>
            <w:r>
              <w:rPr>
                <w:rFonts w:ascii="Arial" w:eastAsia="Arial" w:hAnsi="Arial" w:cs="Arial"/>
                <w:color w:val="000000"/>
                <w:sz w:val="16"/>
              </w:rPr>
              <w:t>%</w:t>
            </w:r>
          </w:p>
        </w:tc>
        <w:tc>
          <w:tcPr>
            <w:tcW w:w="375" w:type="dxa"/>
            <w:tcBorders>
              <w:top w:val="nil"/>
              <w:left w:val="nil"/>
              <w:bottom w:val="nil"/>
              <w:right w:val="nil"/>
            </w:tcBorders>
            <w:shd w:val="clear" w:color="auto" w:fill="CCEEFF"/>
            <w:tcMar>
              <w:top w:w="0" w:type="dxa"/>
              <w:left w:w="0" w:type="dxa"/>
              <w:bottom w:w="0" w:type="dxa"/>
              <w:right w:w="0" w:type="dxa"/>
            </w:tcMar>
            <w:vAlign w:val="bottom"/>
          </w:tcPr>
          <w:p w14:paraId="3762AC42" w14:textId="77777777" w:rsidR="00D0338B" w:rsidRDefault="00D0338B">
            <w:pPr>
              <w:keepNext/>
            </w:pPr>
          </w:p>
        </w:tc>
        <w:tc>
          <w:tcPr>
            <w:tcW w:w="8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5F7726EF" w14:textId="77777777" w:rsidR="00D0338B" w:rsidRDefault="00DB7EA0">
            <w:pPr>
              <w:keepNext/>
              <w:spacing w:before="53" w:after="30"/>
              <w:jc w:val="right"/>
            </w:pPr>
            <w:r>
              <w:rPr>
                <w:rFonts w:ascii="Arial" w:eastAsia="Arial" w:hAnsi="Arial" w:cs="Arial"/>
                <w:color w:val="000000"/>
                <w:sz w:val="16"/>
              </w:rPr>
              <w:t>542 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91D792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BF0285" w14:textId="77777777" w:rsidR="00D0338B" w:rsidRDefault="00D0338B">
            <w:pPr>
              <w:keepNext/>
            </w:pPr>
          </w:p>
        </w:tc>
        <w:tc>
          <w:tcPr>
            <w:tcW w:w="8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0CD0B1AA" w14:textId="77777777" w:rsidR="00D0338B" w:rsidRDefault="00DB7EA0">
            <w:pPr>
              <w:keepNext/>
              <w:spacing w:before="53" w:after="30"/>
              <w:jc w:val="right"/>
            </w:pPr>
            <w:r>
              <w:rPr>
                <w:rFonts w:ascii="Arial" w:eastAsia="Arial" w:hAnsi="Arial" w:cs="Arial"/>
                <w:color w:val="000000"/>
                <w:sz w:val="16"/>
              </w:rPr>
              <w:t>1,154 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D3C7849"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DF64D5" w14:textId="77777777" w:rsidR="00D0338B" w:rsidRDefault="00D0338B">
            <w:pPr>
              <w:keepNext/>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14:paraId="3C2C10D4" w14:textId="77777777" w:rsidR="00D0338B" w:rsidRDefault="00DB7EA0">
            <w:pPr>
              <w:keepNext/>
              <w:spacing w:before="53" w:after="30"/>
              <w:jc w:val="right"/>
            </w:pPr>
            <w:r>
              <w:rPr>
                <w:rFonts w:ascii="Arial" w:eastAsia="Arial" w:hAnsi="Arial" w:cs="Arial"/>
                <w:color w:val="000000"/>
                <w:sz w:val="16"/>
              </w:rPr>
              <w:t>(53.0)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18E5981" w14:textId="77777777" w:rsidR="00D0338B" w:rsidRDefault="00DB7EA0">
            <w:pPr>
              <w:keepNext/>
              <w:spacing w:before="53" w:after="30"/>
              <w:jc w:val="right"/>
            </w:pPr>
            <w:r>
              <w:rPr>
                <w:rFonts w:ascii="Arial" w:eastAsia="Arial" w:hAnsi="Arial" w:cs="Arial"/>
                <w:color w:val="000000"/>
                <w:sz w:val="16"/>
              </w:rPr>
              <w:t>%</w:t>
            </w:r>
          </w:p>
        </w:tc>
      </w:tr>
      <w:tr w:rsidR="00D0338B" w14:paraId="5923C33E" w14:textId="77777777">
        <w:trPr>
          <w:cantSplit/>
          <w:trHeight w:hRule="exact" w:val="255"/>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14:paraId="6E8262FC" w14:textId="77777777" w:rsidR="00D0338B" w:rsidRDefault="00DB7EA0">
            <w:pPr>
              <w:keepNext/>
              <w:spacing w:before="53" w:after="30"/>
              <w:ind w:left="225"/>
            </w:pPr>
            <w:r>
              <w:rPr>
                <w:rFonts w:ascii="Arial" w:eastAsia="Arial" w:hAnsi="Arial" w:cs="Arial"/>
                <w:color w:val="000000"/>
                <w:sz w:val="16"/>
              </w:rPr>
              <w:t>Total</w:t>
            </w: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B1C3F8E" w14:textId="77777777" w:rsidR="00D0338B" w:rsidRDefault="00DB7EA0">
            <w:pPr>
              <w:keepNext/>
              <w:spacing w:before="33" w:after="30"/>
              <w:jc w:val="right"/>
            </w:pPr>
            <w:r>
              <w:rPr>
                <w:rFonts w:ascii="Arial" w:eastAsia="Arial" w:hAnsi="Arial" w:cs="Arial"/>
                <w:color w:val="000000"/>
                <w:sz w:val="16"/>
              </w:rPr>
              <w:t>7,032 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5BEF48B"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B836B0"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B16CEA3" w14:textId="77777777" w:rsidR="00D0338B" w:rsidRDefault="00DB7EA0">
            <w:pPr>
              <w:keepNext/>
              <w:spacing w:before="33" w:after="30"/>
              <w:jc w:val="right"/>
            </w:pPr>
            <w:r>
              <w:rPr>
                <w:rFonts w:ascii="Arial" w:eastAsia="Arial" w:hAnsi="Arial" w:cs="Arial"/>
                <w:color w:val="000000"/>
                <w:sz w:val="16"/>
              </w:rPr>
              <w:t>7,199 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5020EBE"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FC6C75"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50D9B1C0" w14:textId="77777777" w:rsidR="00D0338B" w:rsidRDefault="00DB7EA0">
            <w:pPr>
              <w:keepNext/>
              <w:spacing w:before="53" w:after="30"/>
              <w:jc w:val="right"/>
            </w:pPr>
            <w:r>
              <w:rPr>
                <w:rFonts w:ascii="Arial" w:eastAsia="Arial" w:hAnsi="Arial" w:cs="Arial"/>
                <w:color w:val="000000"/>
                <w:sz w:val="16"/>
              </w:rPr>
              <w:t>(2.3)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A84E625" w14:textId="77777777" w:rsidR="00D0338B" w:rsidRDefault="00DB7EA0">
            <w:pPr>
              <w:keepNext/>
              <w:spacing w:before="53" w:after="30"/>
              <w:jc w:val="right"/>
            </w:pPr>
            <w:r>
              <w:rPr>
                <w:rFonts w:ascii="Arial" w:eastAsia="Arial" w:hAnsi="Arial" w:cs="Arial"/>
                <w:color w:val="000000"/>
                <w:sz w:val="16"/>
              </w:rPr>
              <w:t>%</w:t>
            </w:r>
          </w:p>
        </w:tc>
        <w:tc>
          <w:tcPr>
            <w:tcW w:w="375" w:type="dxa"/>
            <w:tcBorders>
              <w:top w:val="nil"/>
              <w:left w:val="nil"/>
              <w:bottom w:val="nil"/>
              <w:right w:val="nil"/>
            </w:tcBorders>
            <w:shd w:val="clear" w:color="auto" w:fill="FFFFFF"/>
            <w:tcMar>
              <w:top w:w="0" w:type="dxa"/>
              <w:left w:w="0" w:type="dxa"/>
              <w:bottom w:w="0" w:type="dxa"/>
              <w:right w:w="0" w:type="dxa"/>
            </w:tcMar>
            <w:vAlign w:val="bottom"/>
          </w:tcPr>
          <w:p w14:paraId="677DF9A6"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6DF37D5" w14:textId="77777777" w:rsidR="00D0338B" w:rsidRDefault="00DB7EA0">
            <w:pPr>
              <w:keepNext/>
              <w:spacing w:before="33" w:after="30"/>
              <w:jc w:val="right"/>
            </w:pPr>
            <w:r>
              <w:rPr>
                <w:rFonts w:ascii="Arial" w:eastAsia="Arial" w:hAnsi="Arial" w:cs="Arial"/>
                <w:color w:val="000000"/>
                <w:sz w:val="16"/>
              </w:rPr>
              <w:t>29,016 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C6DE11D"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61DD3E"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B7166D8" w14:textId="77777777" w:rsidR="00D0338B" w:rsidRDefault="00DB7EA0">
            <w:pPr>
              <w:keepNext/>
              <w:spacing w:before="33" w:after="30"/>
              <w:jc w:val="right"/>
            </w:pPr>
            <w:r>
              <w:rPr>
                <w:rFonts w:ascii="Arial" w:eastAsia="Arial" w:hAnsi="Arial" w:cs="Arial"/>
                <w:color w:val="000000"/>
                <w:sz w:val="16"/>
              </w:rPr>
              <w:t>31,368 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88345B5"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161768"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4D8CC4C6" w14:textId="77777777" w:rsidR="00D0338B" w:rsidRDefault="00DB7EA0">
            <w:pPr>
              <w:keepNext/>
              <w:spacing w:before="53" w:after="30"/>
              <w:jc w:val="right"/>
            </w:pPr>
            <w:r>
              <w:rPr>
                <w:rFonts w:ascii="Arial" w:eastAsia="Arial" w:hAnsi="Arial" w:cs="Arial"/>
                <w:color w:val="000000"/>
                <w:sz w:val="16"/>
              </w:rPr>
              <w:t>(7.5)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C65D186" w14:textId="77777777" w:rsidR="00D0338B" w:rsidRDefault="00DB7EA0">
            <w:pPr>
              <w:keepNext/>
              <w:spacing w:before="53" w:after="30"/>
              <w:jc w:val="right"/>
            </w:pPr>
            <w:r>
              <w:rPr>
                <w:rFonts w:ascii="Arial" w:eastAsia="Arial" w:hAnsi="Arial" w:cs="Arial"/>
                <w:color w:val="000000"/>
                <w:sz w:val="16"/>
              </w:rPr>
              <w:t>%</w:t>
            </w:r>
          </w:p>
        </w:tc>
      </w:tr>
      <w:tr w:rsidR="00D0338B" w14:paraId="2D0ECD70" w14:textId="77777777">
        <w:trPr>
          <w:cantSplit/>
          <w:trHeight w:hRule="exact" w:val="300"/>
          <w:jc w:val="center"/>
        </w:trPr>
        <w:tc>
          <w:tcPr>
            <w:tcW w:w="4095" w:type="dxa"/>
            <w:tcBorders>
              <w:top w:val="nil"/>
              <w:left w:val="nil"/>
              <w:bottom w:val="nil"/>
              <w:right w:val="nil"/>
            </w:tcBorders>
            <w:shd w:val="clear" w:color="auto" w:fill="CCEEFF"/>
            <w:tcMar>
              <w:top w:w="0" w:type="dxa"/>
              <w:left w:w="0" w:type="dxa"/>
              <w:bottom w:w="0" w:type="dxa"/>
              <w:right w:w="0" w:type="dxa"/>
            </w:tcMar>
            <w:vAlign w:val="bottom"/>
          </w:tcPr>
          <w:p w14:paraId="4C05F8E4" w14:textId="77777777" w:rsidR="00D0338B" w:rsidRDefault="00D0338B">
            <w:pPr>
              <w:keepNext/>
            </w:pPr>
          </w:p>
        </w:tc>
        <w:tc>
          <w:tcPr>
            <w:tcW w:w="945" w:type="dxa"/>
            <w:gridSpan w:val="2"/>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1C2A14BA"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69EB81" w14:textId="77777777" w:rsidR="00D0338B" w:rsidRDefault="00D0338B">
            <w:pPr>
              <w:keepNext/>
            </w:pPr>
          </w:p>
        </w:tc>
        <w:tc>
          <w:tcPr>
            <w:tcW w:w="945" w:type="dxa"/>
            <w:gridSpan w:val="2"/>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1B7C75BA"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BD2D73"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44855631" w14:textId="77777777" w:rsidR="00D0338B" w:rsidRDefault="00D0338B">
            <w:pPr>
              <w:keepNext/>
            </w:pPr>
          </w:p>
        </w:tc>
        <w:tc>
          <w:tcPr>
            <w:tcW w:w="375" w:type="dxa"/>
            <w:tcBorders>
              <w:top w:val="nil"/>
              <w:left w:val="nil"/>
              <w:bottom w:val="nil"/>
              <w:right w:val="nil"/>
            </w:tcBorders>
            <w:shd w:val="clear" w:color="auto" w:fill="CCEEFF"/>
            <w:tcMar>
              <w:top w:w="0" w:type="dxa"/>
              <w:left w:w="0" w:type="dxa"/>
              <w:bottom w:w="0" w:type="dxa"/>
              <w:right w:w="0" w:type="dxa"/>
            </w:tcMar>
            <w:vAlign w:val="bottom"/>
          </w:tcPr>
          <w:p w14:paraId="4A485F3B" w14:textId="77777777" w:rsidR="00D0338B" w:rsidRDefault="00D0338B">
            <w:pPr>
              <w:keepNext/>
            </w:pPr>
          </w:p>
        </w:tc>
        <w:tc>
          <w:tcPr>
            <w:tcW w:w="945" w:type="dxa"/>
            <w:gridSpan w:val="2"/>
            <w:tcBorders>
              <w:top w:val="double" w:sz="8" w:space="0" w:color="000000"/>
              <w:left w:val="nil"/>
              <w:bottom w:val="single" w:sz="8" w:space="0" w:color="000000"/>
              <w:right w:val="nil"/>
            </w:tcBorders>
            <w:shd w:val="clear" w:color="auto" w:fill="CCEEFF"/>
            <w:tcMar>
              <w:top w:w="0" w:type="dxa"/>
              <w:left w:w="53" w:type="dxa"/>
              <w:bottom w:w="0" w:type="dxa"/>
              <w:right w:w="15" w:type="dxa"/>
            </w:tcMar>
            <w:vAlign w:val="bottom"/>
          </w:tcPr>
          <w:p w14:paraId="557A349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3FB295" w14:textId="77777777" w:rsidR="00D0338B" w:rsidRDefault="00D0338B">
            <w:pPr>
              <w:keepNext/>
            </w:pPr>
          </w:p>
        </w:tc>
        <w:tc>
          <w:tcPr>
            <w:tcW w:w="945" w:type="dxa"/>
            <w:gridSpan w:val="2"/>
            <w:tcBorders>
              <w:top w:val="doub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42B2ED66"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4A31C7"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6A648352" w14:textId="77777777" w:rsidR="00D0338B" w:rsidRDefault="00D0338B">
            <w:pPr>
              <w:keepNext/>
            </w:pPr>
          </w:p>
        </w:tc>
      </w:tr>
      <w:tr w:rsidR="00D0338B" w14:paraId="0132A44D" w14:textId="77777777">
        <w:trPr>
          <w:cantSplit/>
          <w:trHeight w:hRule="exact" w:val="300"/>
          <w:jc w:val="center"/>
        </w:trPr>
        <w:tc>
          <w:tcPr>
            <w:tcW w:w="4095" w:type="dxa"/>
            <w:tcBorders>
              <w:top w:val="nil"/>
              <w:left w:val="nil"/>
              <w:bottom w:val="nil"/>
              <w:right w:val="nil"/>
            </w:tcBorders>
            <w:shd w:val="clear" w:color="auto" w:fill="FFFFFF"/>
            <w:tcMar>
              <w:top w:w="0" w:type="dxa"/>
              <w:left w:w="53" w:type="dxa"/>
              <w:bottom w:w="0" w:type="dxa"/>
              <w:right w:w="53" w:type="dxa"/>
            </w:tcMar>
            <w:vAlign w:val="bottom"/>
          </w:tcPr>
          <w:p w14:paraId="2BEC03B3" w14:textId="77777777" w:rsidR="00D0338B" w:rsidRDefault="00DB7EA0">
            <w:pPr>
              <w:keepNext/>
              <w:spacing w:before="53" w:after="30"/>
            </w:pPr>
            <w:r>
              <w:rPr>
                <w:rFonts w:ascii="Arial" w:eastAsia="Arial" w:hAnsi="Arial" w:cs="Arial"/>
                <w:b/>
                <w:color w:val="000000"/>
                <w:sz w:val="16"/>
              </w:rPr>
              <w:t>Total U.S.</w:t>
            </w: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856C4D8" w14:textId="77777777" w:rsidR="00D0338B" w:rsidRDefault="00DB7EA0">
            <w:pPr>
              <w:keepNext/>
              <w:spacing w:before="33" w:after="30"/>
              <w:jc w:val="right"/>
            </w:pPr>
            <w:r>
              <w:rPr>
                <w:rFonts w:ascii="Arial" w:eastAsia="Arial" w:hAnsi="Arial" w:cs="Arial"/>
                <w:color w:val="000000"/>
                <w:sz w:val="16"/>
              </w:rPr>
              <w:t>15,902 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3CA4BA3"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C49CC3"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BBE9193" w14:textId="77777777" w:rsidR="00D0338B" w:rsidRDefault="00DB7EA0">
            <w:pPr>
              <w:keepNext/>
              <w:spacing w:before="33" w:after="30"/>
              <w:jc w:val="right"/>
            </w:pPr>
            <w:r>
              <w:rPr>
                <w:rFonts w:ascii="Arial" w:eastAsia="Arial" w:hAnsi="Arial" w:cs="Arial"/>
                <w:color w:val="000000"/>
                <w:sz w:val="16"/>
              </w:rPr>
              <w:t>16,293 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8E378BC"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9BB750"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75D44B01" w14:textId="77777777" w:rsidR="00D0338B" w:rsidRDefault="00DB7EA0">
            <w:pPr>
              <w:keepNext/>
              <w:spacing w:before="53" w:after="30"/>
              <w:jc w:val="right"/>
            </w:pPr>
            <w:r>
              <w:rPr>
                <w:rFonts w:ascii="Arial" w:eastAsia="Arial" w:hAnsi="Arial" w:cs="Arial"/>
                <w:color w:val="000000"/>
                <w:sz w:val="16"/>
              </w:rPr>
              <w:t>(2.4)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4E687C" w14:textId="77777777" w:rsidR="00D0338B" w:rsidRDefault="00DB7EA0">
            <w:pPr>
              <w:keepNext/>
              <w:spacing w:before="53" w:after="30"/>
              <w:jc w:val="right"/>
            </w:pPr>
            <w:r>
              <w:rPr>
                <w:rFonts w:ascii="Arial" w:eastAsia="Arial" w:hAnsi="Arial" w:cs="Arial"/>
                <w:color w:val="000000"/>
                <w:sz w:val="16"/>
              </w:rPr>
              <w:t>%</w:t>
            </w:r>
          </w:p>
        </w:tc>
        <w:tc>
          <w:tcPr>
            <w:tcW w:w="375" w:type="dxa"/>
            <w:tcBorders>
              <w:top w:val="nil"/>
              <w:left w:val="nil"/>
              <w:bottom w:val="nil"/>
              <w:right w:val="nil"/>
            </w:tcBorders>
            <w:shd w:val="clear" w:color="auto" w:fill="FFFFFF"/>
            <w:tcMar>
              <w:top w:w="0" w:type="dxa"/>
              <w:left w:w="0" w:type="dxa"/>
              <w:bottom w:w="0" w:type="dxa"/>
              <w:right w:w="0" w:type="dxa"/>
            </w:tcMar>
            <w:vAlign w:val="bottom"/>
          </w:tcPr>
          <w:p w14:paraId="170B5875"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94D3A46" w14:textId="77777777" w:rsidR="00D0338B" w:rsidRDefault="00DB7EA0">
            <w:pPr>
              <w:keepNext/>
              <w:spacing w:before="33" w:after="30"/>
              <w:jc w:val="right"/>
            </w:pPr>
            <w:r>
              <w:rPr>
                <w:rFonts w:ascii="Arial" w:eastAsia="Arial" w:hAnsi="Arial" w:cs="Arial"/>
                <w:color w:val="000000"/>
                <w:sz w:val="16"/>
              </w:rPr>
              <w:t>65,024 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2C16AFF"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326AC4"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636A889" w14:textId="77777777" w:rsidR="00D0338B" w:rsidRDefault="00DB7EA0">
            <w:pPr>
              <w:keepNext/>
              <w:spacing w:before="33" w:after="30"/>
              <w:jc w:val="right"/>
            </w:pPr>
            <w:r>
              <w:rPr>
                <w:rFonts w:ascii="Arial" w:eastAsia="Arial" w:hAnsi="Arial" w:cs="Arial"/>
                <w:color w:val="000000"/>
                <w:sz w:val="16"/>
              </w:rPr>
              <w:t>68,392 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9EC669D"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295C85" w14:textId="77777777" w:rsidR="00D0338B" w:rsidRDefault="00D0338B">
            <w:pPr>
              <w:keepNext/>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14:paraId="56CF18BB" w14:textId="77777777" w:rsidR="00D0338B" w:rsidRDefault="00DB7EA0">
            <w:pPr>
              <w:keepNext/>
              <w:spacing w:before="53" w:after="30"/>
              <w:jc w:val="right"/>
            </w:pPr>
            <w:r>
              <w:rPr>
                <w:rFonts w:ascii="Arial" w:eastAsia="Arial" w:hAnsi="Arial" w:cs="Arial"/>
                <w:color w:val="000000"/>
                <w:sz w:val="16"/>
              </w:rPr>
              <w:t>(4.9)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F4A389" w14:textId="77777777" w:rsidR="00D0338B" w:rsidRDefault="00DB7EA0">
            <w:pPr>
              <w:keepNext/>
              <w:spacing w:before="53" w:after="30"/>
              <w:jc w:val="right"/>
            </w:pPr>
            <w:r>
              <w:rPr>
                <w:rFonts w:ascii="Arial" w:eastAsia="Arial" w:hAnsi="Arial" w:cs="Arial"/>
                <w:color w:val="000000"/>
                <w:sz w:val="16"/>
              </w:rPr>
              <w:t>%</w:t>
            </w:r>
          </w:p>
        </w:tc>
      </w:tr>
      <w:tr w:rsidR="00D0338B" w14:paraId="2400E84B" w14:textId="77777777">
        <w:trPr>
          <w:cantSplit/>
          <w:trHeight w:hRule="exact" w:val="255"/>
          <w:jc w:val="center"/>
        </w:trPr>
        <w:tc>
          <w:tcPr>
            <w:tcW w:w="4095" w:type="dxa"/>
            <w:tcBorders>
              <w:top w:val="nil"/>
              <w:left w:val="nil"/>
              <w:bottom w:val="nil"/>
              <w:right w:val="nil"/>
            </w:tcBorders>
            <w:shd w:val="clear" w:color="auto" w:fill="CCEEFF"/>
            <w:tcMar>
              <w:top w:w="0" w:type="dxa"/>
              <w:left w:w="0" w:type="dxa"/>
              <w:bottom w:w="0" w:type="dxa"/>
              <w:right w:w="0" w:type="dxa"/>
            </w:tcMar>
            <w:vAlign w:val="bottom"/>
          </w:tcPr>
          <w:p w14:paraId="0ED5D62C" w14:textId="77777777" w:rsidR="00D0338B" w:rsidRDefault="00D0338B">
            <w:pPr>
              <w:keepNext/>
            </w:pPr>
          </w:p>
        </w:tc>
        <w:tc>
          <w:tcPr>
            <w:tcW w:w="94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3C86124E"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7901C7" w14:textId="77777777" w:rsidR="00D0338B" w:rsidRDefault="00D0338B">
            <w:pPr>
              <w:keepNext/>
            </w:pPr>
          </w:p>
        </w:tc>
        <w:tc>
          <w:tcPr>
            <w:tcW w:w="94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34623BC"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D5A143"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02986981" w14:textId="77777777" w:rsidR="00D0338B" w:rsidRDefault="00D0338B">
            <w:pPr>
              <w:keepNext/>
            </w:pPr>
          </w:p>
        </w:tc>
        <w:tc>
          <w:tcPr>
            <w:tcW w:w="375" w:type="dxa"/>
            <w:tcBorders>
              <w:top w:val="nil"/>
              <w:left w:val="nil"/>
              <w:bottom w:val="nil"/>
              <w:right w:val="nil"/>
            </w:tcBorders>
            <w:shd w:val="clear" w:color="auto" w:fill="CCEEFF"/>
            <w:tcMar>
              <w:top w:w="0" w:type="dxa"/>
              <w:left w:w="0" w:type="dxa"/>
              <w:bottom w:w="0" w:type="dxa"/>
              <w:right w:w="0" w:type="dxa"/>
            </w:tcMar>
            <w:vAlign w:val="bottom"/>
          </w:tcPr>
          <w:p w14:paraId="2C141C08" w14:textId="77777777" w:rsidR="00D0338B" w:rsidRDefault="00D0338B">
            <w:pPr>
              <w:keepNext/>
            </w:pPr>
          </w:p>
        </w:tc>
        <w:tc>
          <w:tcPr>
            <w:tcW w:w="94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1A843228"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84EB71" w14:textId="77777777" w:rsidR="00D0338B" w:rsidRDefault="00D0338B">
            <w:pPr>
              <w:keepNext/>
            </w:pPr>
          </w:p>
        </w:tc>
        <w:tc>
          <w:tcPr>
            <w:tcW w:w="94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72492FC1" w14:textId="77777777" w:rsidR="00D0338B" w:rsidRDefault="00D0338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B9F9EB" w14:textId="77777777" w:rsidR="00D0338B" w:rsidRDefault="00D0338B">
            <w:pPr>
              <w:keepNext/>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14:paraId="05B5A17D" w14:textId="77777777" w:rsidR="00D0338B" w:rsidRDefault="00D0338B">
            <w:pPr>
              <w:keepNext/>
            </w:pPr>
          </w:p>
        </w:tc>
      </w:tr>
      <w:tr w:rsidR="00D0338B" w14:paraId="31E1B7BF" w14:textId="77777777">
        <w:trPr>
          <w:cantSplit/>
          <w:trHeight w:hRule="exact" w:val="255"/>
          <w:jc w:val="center"/>
        </w:trPr>
        <w:tc>
          <w:tcPr>
            <w:tcW w:w="4095" w:type="dxa"/>
            <w:tcBorders>
              <w:top w:val="nil"/>
              <w:left w:val="nil"/>
              <w:bottom w:val="nil"/>
              <w:right w:val="nil"/>
            </w:tcBorders>
            <w:tcMar>
              <w:top w:w="0" w:type="dxa"/>
              <w:left w:w="53" w:type="dxa"/>
              <w:bottom w:w="0" w:type="dxa"/>
              <w:right w:w="53" w:type="dxa"/>
            </w:tcMar>
            <w:vAlign w:val="bottom"/>
          </w:tcPr>
          <w:p w14:paraId="51DC3B58" w14:textId="77777777" w:rsidR="00D0338B" w:rsidRDefault="00DB7EA0">
            <w:pPr>
              <w:keepNext/>
              <w:spacing w:before="53" w:after="30"/>
            </w:pPr>
            <w:r>
              <w:rPr>
                <w:rFonts w:ascii="Arial" w:eastAsia="Arial" w:hAnsi="Arial" w:cs="Arial"/>
                <w:b/>
                <w:color w:val="000000"/>
                <w:sz w:val="16"/>
              </w:rPr>
              <w:t>U.K. Regulated Segment</w:t>
            </w:r>
          </w:p>
        </w:tc>
        <w:tc>
          <w:tcPr>
            <w:tcW w:w="945" w:type="dxa"/>
            <w:gridSpan w:val="2"/>
            <w:tcBorders>
              <w:top w:val="nil"/>
              <w:left w:val="nil"/>
              <w:bottom w:val="single" w:sz="8" w:space="0" w:color="000000"/>
              <w:right w:val="nil"/>
            </w:tcBorders>
            <w:shd w:val="clear" w:color="auto" w:fill="FFFFFF"/>
            <w:tcMar>
              <w:top w:w="0" w:type="dxa"/>
              <w:left w:w="0" w:type="dxa"/>
              <w:bottom w:w="0" w:type="dxa"/>
              <w:right w:w="0" w:type="dxa"/>
            </w:tcMar>
            <w:vAlign w:val="bottom"/>
          </w:tcPr>
          <w:p w14:paraId="08DD7E5B"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45254D" w14:textId="77777777" w:rsidR="00D0338B" w:rsidRDefault="00D0338B">
            <w:pPr>
              <w:keepNext/>
            </w:pPr>
          </w:p>
        </w:tc>
        <w:tc>
          <w:tcPr>
            <w:tcW w:w="945" w:type="dxa"/>
            <w:gridSpan w:val="2"/>
            <w:tcBorders>
              <w:top w:val="nil"/>
              <w:left w:val="nil"/>
              <w:bottom w:val="single" w:sz="8" w:space="0" w:color="000000"/>
              <w:right w:val="nil"/>
            </w:tcBorders>
            <w:shd w:val="clear" w:color="auto" w:fill="FFFFFF"/>
            <w:tcMar>
              <w:top w:w="0" w:type="dxa"/>
              <w:left w:w="0" w:type="dxa"/>
              <w:bottom w:w="0" w:type="dxa"/>
              <w:right w:w="0" w:type="dxa"/>
            </w:tcMar>
            <w:vAlign w:val="bottom"/>
          </w:tcPr>
          <w:p w14:paraId="5BB4D64F"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8E7EA6" w14:textId="77777777" w:rsidR="00D0338B" w:rsidRDefault="00D0338B">
            <w:pPr>
              <w:keepNext/>
            </w:pPr>
          </w:p>
        </w:tc>
        <w:tc>
          <w:tcPr>
            <w:tcW w:w="945" w:type="dxa"/>
            <w:gridSpan w:val="2"/>
            <w:tcBorders>
              <w:top w:val="nil"/>
              <w:left w:val="nil"/>
              <w:bottom w:val="nil"/>
              <w:right w:val="nil"/>
            </w:tcBorders>
            <w:shd w:val="clear" w:color="auto" w:fill="FFFFFF"/>
            <w:tcMar>
              <w:top w:w="0" w:type="dxa"/>
              <w:left w:w="0" w:type="dxa"/>
              <w:bottom w:w="0" w:type="dxa"/>
              <w:right w:w="0" w:type="dxa"/>
            </w:tcMar>
            <w:vAlign w:val="bottom"/>
          </w:tcPr>
          <w:p w14:paraId="4C9D7A00" w14:textId="77777777" w:rsidR="00D0338B" w:rsidRDefault="00D0338B">
            <w:pPr>
              <w:keepNext/>
            </w:pPr>
          </w:p>
        </w:tc>
        <w:tc>
          <w:tcPr>
            <w:tcW w:w="375" w:type="dxa"/>
            <w:tcBorders>
              <w:top w:val="nil"/>
              <w:left w:val="nil"/>
              <w:bottom w:val="nil"/>
              <w:right w:val="nil"/>
            </w:tcBorders>
            <w:shd w:val="clear" w:color="auto" w:fill="FFFFFF"/>
            <w:tcMar>
              <w:top w:w="0" w:type="dxa"/>
              <w:left w:w="0" w:type="dxa"/>
              <w:bottom w:w="0" w:type="dxa"/>
              <w:right w:w="0" w:type="dxa"/>
            </w:tcMar>
            <w:vAlign w:val="bottom"/>
          </w:tcPr>
          <w:p w14:paraId="505E27B8" w14:textId="77777777" w:rsidR="00D0338B" w:rsidRDefault="00D0338B">
            <w:pPr>
              <w:keepNext/>
            </w:pPr>
          </w:p>
        </w:tc>
        <w:tc>
          <w:tcPr>
            <w:tcW w:w="945" w:type="dxa"/>
            <w:gridSpan w:val="2"/>
            <w:tcBorders>
              <w:top w:val="nil"/>
              <w:left w:val="nil"/>
              <w:bottom w:val="single" w:sz="8" w:space="0" w:color="000000"/>
              <w:right w:val="nil"/>
            </w:tcBorders>
            <w:shd w:val="clear" w:color="auto" w:fill="FFFFFF"/>
            <w:tcMar>
              <w:top w:w="0" w:type="dxa"/>
              <w:left w:w="0" w:type="dxa"/>
              <w:bottom w:w="0" w:type="dxa"/>
              <w:right w:w="0" w:type="dxa"/>
            </w:tcMar>
            <w:vAlign w:val="bottom"/>
          </w:tcPr>
          <w:p w14:paraId="47268FE4"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6AF3B3" w14:textId="77777777" w:rsidR="00D0338B" w:rsidRDefault="00D0338B">
            <w:pPr>
              <w:keepNext/>
            </w:pPr>
          </w:p>
        </w:tc>
        <w:tc>
          <w:tcPr>
            <w:tcW w:w="945" w:type="dxa"/>
            <w:gridSpan w:val="2"/>
            <w:tcBorders>
              <w:top w:val="nil"/>
              <w:left w:val="nil"/>
              <w:bottom w:val="single" w:sz="8" w:space="0" w:color="000000"/>
              <w:right w:val="nil"/>
            </w:tcBorders>
            <w:shd w:val="clear" w:color="auto" w:fill="FFFFFF"/>
            <w:tcMar>
              <w:top w:w="0" w:type="dxa"/>
              <w:left w:w="0" w:type="dxa"/>
              <w:bottom w:w="0" w:type="dxa"/>
              <w:right w:w="0" w:type="dxa"/>
            </w:tcMar>
            <w:vAlign w:val="bottom"/>
          </w:tcPr>
          <w:p w14:paraId="7B13D3A5"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AB54EE" w14:textId="77777777" w:rsidR="00D0338B" w:rsidRDefault="00D0338B">
            <w:pPr>
              <w:keepNext/>
            </w:pPr>
          </w:p>
        </w:tc>
        <w:tc>
          <w:tcPr>
            <w:tcW w:w="945" w:type="dxa"/>
            <w:gridSpan w:val="2"/>
            <w:tcBorders>
              <w:top w:val="nil"/>
              <w:left w:val="nil"/>
              <w:bottom w:val="nil"/>
              <w:right w:val="nil"/>
            </w:tcBorders>
            <w:shd w:val="clear" w:color="auto" w:fill="FFFFFF"/>
            <w:tcMar>
              <w:top w:w="0" w:type="dxa"/>
              <w:left w:w="0" w:type="dxa"/>
              <w:bottom w:w="0" w:type="dxa"/>
              <w:right w:w="0" w:type="dxa"/>
            </w:tcMar>
            <w:vAlign w:val="bottom"/>
          </w:tcPr>
          <w:p w14:paraId="41E60F32" w14:textId="77777777" w:rsidR="00D0338B" w:rsidRDefault="00D0338B">
            <w:pPr>
              <w:keepNext/>
            </w:pPr>
          </w:p>
        </w:tc>
      </w:tr>
      <w:tr w:rsidR="00D0338B" w14:paraId="2A4DC15E" w14:textId="77777777">
        <w:trPr>
          <w:cantSplit/>
          <w:trHeight w:hRule="exact" w:val="255"/>
          <w:jc w:val="center"/>
        </w:trPr>
        <w:tc>
          <w:tcPr>
            <w:tcW w:w="4095" w:type="dxa"/>
            <w:tcBorders>
              <w:top w:val="nil"/>
              <w:left w:val="nil"/>
              <w:bottom w:val="nil"/>
              <w:right w:val="nil"/>
            </w:tcBorders>
            <w:shd w:val="clear" w:color="auto" w:fill="CCEEFF"/>
            <w:tcMar>
              <w:top w:w="0" w:type="dxa"/>
              <w:left w:w="53" w:type="dxa"/>
              <w:bottom w:w="0" w:type="dxa"/>
              <w:right w:w="53" w:type="dxa"/>
            </w:tcMar>
            <w:vAlign w:val="bottom"/>
          </w:tcPr>
          <w:p w14:paraId="3B52F846" w14:textId="77777777" w:rsidR="00D0338B" w:rsidRDefault="00DB7EA0">
            <w:pPr>
              <w:keepNext/>
              <w:spacing w:before="53" w:after="30"/>
              <w:ind w:left="135"/>
            </w:pPr>
            <w:r>
              <w:rPr>
                <w:rFonts w:ascii="Arial" w:eastAsia="Arial" w:hAnsi="Arial" w:cs="Arial"/>
                <w:color w:val="000000"/>
                <w:sz w:val="16"/>
              </w:rPr>
              <w:t>Delivered</w:t>
            </w: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90B5FC1" w14:textId="77777777" w:rsidR="00D0338B" w:rsidRDefault="00DB7EA0">
            <w:pPr>
              <w:keepNext/>
              <w:spacing w:before="33" w:after="30"/>
              <w:jc w:val="right"/>
            </w:pPr>
            <w:r>
              <w:rPr>
                <w:rFonts w:ascii="Arial" w:eastAsia="Arial" w:hAnsi="Arial" w:cs="Arial"/>
                <w:color w:val="000000"/>
                <w:sz w:val="16"/>
              </w:rPr>
              <w:t>17,555 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465768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803BC3"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98155D8" w14:textId="77777777" w:rsidR="00D0338B" w:rsidRDefault="00DB7EA0">
            <w:pPr>
              <w:keepNext/>
              <w:spacing w:before="33" w:after="30"/>
              <w:jc w:val="right"/>
            </w:pPr>
            <w:r>
              <w:rPr>
                <w:rFonts w:ascii="Arial" w:eastAsia="Arial" w:hAnsi="Arial" w:cs="Arial"/>
                <w:color w:val="000000"/>
                <w:sz w:val="16"/>
              </w:rPr>
              <w:t>18,096 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1C72D8A"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2ADA73" w14:textId="77777777" w:rsidR="00D0338B" w:rsidRDefault="00D0338B">
            <w:pPr>
              <w:keepNext/>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14:paraId="140B6D62" w14:textId="77777777" w:rsidR="00D0338B" w:rsidRDefault="00DB7EA0">
            <w:pPr>
              <w:keepNext/>
              <w:spacing w:before="53" w:after="30"/>
              <w:jc w:val="right"/>
            </w:pPr>
            <w:r>
              <w:rPr>
                <w:rFonts w:ascii="Arial" w:eastAsia="Arial" w:hAnsi="Arial" w:cs="Arial"/>
                <w:color w:val="000000"/>
                <w:sz w:val="16"/>
              </w:rPr>
              <w:t>(3.0)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57008F8" w14:textId="77777777" w:rsidR="00D0338B" w:rsidRDefault="00DB7EA0">
            <w:pPr>
              <w:keepNext/>
              <w:spacing w:before="53" w:after="30"/>
              <w:jc w:val="right"/>
            </w:pPr>
            <w:r>
              <w:rPr>
                <w:rFonts w:ascii="Arial" w:eastAsia="Arial" w:hAnsi="Arial" w:cs="Arial"/>
                <w:color w:val="000000"/>
                <w:sz w:val="16"/>
              </w:rPr>
              <w:t>%</w:t>
            </w:r>
          </w:p>
        </w:tc>
        <w:tc>
          <w:tcPr>
            <w:tcW w:w="375" w:type="dxa"/>
            <w:tcBorders>
              <w:top w:val="nil"/>
              <w:left w:val="nil"/>
              <w:bottom w:val="nil"/>
              <w:right w:val="nil"/>
            </w:tcBorders>
            <w:shd w:val="clear" w:color="auto" w:fill="CCEEFF"/>
            <w:tcMar>
              <w:top w:w="0" w:type="dxa"/>
              <w:left w:w="0" w:type="dxa"/>
              <w:bottom w:w="0" w:type="dxa"/>
              <w:right w:w="0" w:type="dxa"/>
            </w:tcMar>
            <w:vAlign w:val="bottom"/>
          </w:tcPr>
          <w:p w14:paraId="0614C6B3"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61761C5" w14:textId="77777777" w:rsidR="00D0338B" w:rsidRDefault="00DB7EA0">
            <w:pPr>
              <w:keepNext/>
              <w:spacing w:before="33" w:after="30"/>
              <w:jc w:val="right"/>
            </w:pPr>
            <w:r>
              <w:rPr>
                <w:rFonts w:ascii="Arial" w:eastAsia="Arial" w:hAnsi="Arial" w:cs="Arial"/>
                <w:color w:val="000000"/>
                <w:sz w:val="16"/>
              </w:rPr>
              <w:t>68,133 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A0EAAD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BDDA7F" w14:textId="77777777" w:rsidR="00D0338B" w:rsidRDefault="00D0338B">
            <w:pPr>
              <w:keepNext/>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173F76F" w14:textId="77777777" w:rsidR="00D0338B" w:rsidRDefault="00DB7EA0">
            <w:pPr>
              <w:keepNext/>
              <w:spacing w:before="33" w:after="30"/>
              <w:jc w:val="right"/>
            </w:pPr>
            <w:r>
              <w:rPr>
                <w:rFonts w:ascii="Arial" w:eastAsia="Arial" w:hAnsi="Arial" w:cs="Arial"/>
                <w:color w:val="000000"/>
                <w:sz w:val="16"/>
              </w:rPr>
              <w:t>72,061 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8E800C4"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7235D2" w14:textId="77777777" w:rsidR="00D0338B" w:rsidRDefault="00D0338B">
            <w:pPr>
              <w:keepNext/>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14:paraId="53879DB1" w14:textId="77777777" w:rsidR="00D0338B" w:rsidRDefault="00DB7EA0">
            <w:pPr>
              <w:keepNext/>
              <w:spacing w:before="53" w:after="30"/>
              <w:jc w:val="right"/>
            </w:pPr>
            <w:r>
              <w:rPr>
                <w:rFonts w:ascii="Arial" w:eastAsia="Arial" w:hAnsi="Arial" w:cs="Arial"/>
                <w:color w:val="000000"/>
                <w:sz w:val="16"/>
              </w:rPr>
              <w:t>(5.5)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4B9786E" w14:textId="77777777" w:rsidR="00D0338B" w:rsidRDefault="00DB7EA0">
            <w:pPr>
              <w:keepNext/>
              <w:spacing w:before="53" w:after="30"/>
              <w:jc w:val="right"/>
            </w:pPr>
            <w:r>
              <w:rPr>
                <w:rFonts w:ascii="Arial" w:eastAsia="Arial" w:hAnsi="Arial" w:cs="Arial"/>
                <w:color w:val="000000"/>
                <w:sz w:val="16"/>
              </w:rPr>
              <w:t>%</w:t>
            </w:r>
          </w:p>
        </w:tc>
      </w:tr>
      <w:tr w:rsidR="00D0338B" w14:paraId="6A13D8D7" w14:textId="77777777">
        <w:trPr>
          <w:cantSplit/>
          <w:trHeight w:hRule="exact" w:val="255"/>
          <w:jc w:val="center"/>
        </w:trPr>
        <w:tc>
          <w:tcPr>
            <w:tcW w:w="4095" w:type="dxa"/>
            <w:tcBorders>
              <w:top w:val="nil"/>
              <w:left w:val="nil"/>
              <w:bottom w:val="nil"/>
              <w:right w:val="nil"/>
            </w:tcBorders>
            <w:tcMar>
              <w:top w:w="0" w:type="dxa"/>
              <w:left w:w="0" w:type="dxa"/>
              <w:bottom w:w="0" w:type="dxa"/>
              <w:right w:w="0" w:type="dxa"/>
            </w:tcMar>
            <w:vAlign w:val="bottom"/>
          </w:tcPr>
          <w:p w14:paraId="04000FD7" w14:textId="77777777" w:rsidR="00D0338B" w:rsidRDefault="00D0338B"/>
        </w:tc>
        <w:tc>
          <w:tcPr>
            <w:tcW w:w="945" w:type="dxa"/>
            <w:gridSpan w:val="2"/>
            <w:tcBorders>
              <w:top w:val="double" w:sz="8" w:space="0" w:color="000000"/>
              <w:left w:val="nil"/>
              <w:bottom w:val="nil"/>
              <w:right w:val="nil"/>
            </w:tcBorders>
            <w:tcMar>
              <w:top w:w="0" w:type="dxa"/>
              <w:left w:w="0" w:type="dxa"/>
              <w:bottom w:w="0" w:type="dxa"/>
              <w:right w:w="0" w:type="dxa"/>
            </w:tcMar>
            <w:vAlign w:val="bottom"/>
          </w:tcPr>
          <w:p w14:paraId="116C52AC"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03AC405E" w14:textId="77777777" w:rsidR="00D0338B" w:rsidRDefault="00D0338B"/>
        </w:tc>
        <w:tc>
          <w:tcPr>
            <w:tcW w:w="945" w:type="dxa"/>
            <w:gridSpan w:val="2"/>
            <w:tcBorders>
              <w:top w:val="double" w:sz="8" w:space="0" w:color="000000"/>
              <w:left w:val="nil"/>
              <w:bottom w:val="nil"/>
              <w:right w:val="nil"/>
            </w:tcBorders>
            <w:tcMar>
              <w:top w:w="0" w:type="dxa"/>
              <w:left w:w="0" w:type="dxa"/>
              <w:bottom w:w="0" w:type="dxa"/>
              <w:right w:w="0" w:type="dxa"/>
            </w:tcMar>
            <w:vAlign w:val="bottom"/>
          </w:tcPr>
          <w:p w14:paraId="022E0C40"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3B98AC45" w14:textId="77777777" w:rsidR="00D0338B" w:rsidRDefault="00D0338B"/>
        </w:tc>
        <w:tc>
          <w:tcPr>
            <w:tcW w:w="945" w:type="dxa"/>
            <w:gridSpan w:val="2"/>
            <w:tcBorders>
              <w:top w:val="nil"/>
              <w:left w:val="nil"/>
              <w:bottom w:val="nil"/>
              <w:right w:val="nil"/>
            </w:tcBorders>
            <w:tcMar>
              <w:top w:w="0" w:type="dxa"/>
              <w:left w:w="0" w:type="dxa"/>
              <w:bottom w:w="0" w:type="dxa"/>
              <w:right w:w="0" w:type="dxa"/>
            </w:tcMar>
            <w:vAlign w:val="bottom"/>
          </w:tcPr>
          <w:p w14:paraId="6B15B5AC" w14:textId="77777777" w:rsidR="00D0338B" w:rsidRDefault="00D0338B"/>
        </w:tc>
        <w:tc>
          <w:tcPr>
            <w:tcW w:w="375" w:type="dxa"/>
            <w:tcBorders>
              <w:top w:val="nil"/>
              <w:left w:val="nil"/>
              <w:bottom w:val="nil"/>
              <w:right w:val="nil"/>
            </w:tcBorders>
            <w:tcMar>
              <w:top w:w="0" w:type="dxa"/>
              <w:left w:w="0" w:type="dxa"/>
              <w:bottom w:w="0" w:type="dxa"/>
              <w:right w:w="0" w:type="dxa"/>
            </w:tcMar>
            <w:vAlign w:val="bottom"/>
          </w:tcPr>
          <w:p w14:paraId="3AE779D3" w14:textId="77777777" w:rsidR="00D0338B" w:rsidRDefault="00D0338B"/>
        </w:tc>
        <w:tc>
          <w:tcPr>
            <w:tcW w:w="945" w:type="dxa"/>
            <w:gridSpan w:val="2"/>
            <w:tcBorders>
              <w:top w:val="double" w:sz="8" w:space="0" w:color="000000"/>
              <w:left w:val="nil"/>
              <w:bottom w:val="nil"/>
              <w:right w:val="nil"/>
            </w:tcBorders>
            <w:tcMar>
              <w:top w:w="0" w:type="dxa"/>
              <w:left w:w="0" w:type="dxa"/>
              <w:bottom w:w="0" w:type="dxa"/>
              <w:right w:w="0" w:type="dxa"/>
            </w:tcMar>
            <w:vAlign w:val="bottom"/>
          </w:tcPr>
          <w:p w14:paraId="5D3974AF"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003E4009" w14:textId="77777777" w:rsidR="00D0338B" w:rsidRDefault="00D0338B"/>
        </w:tc>
        <w:tc>
          <w:tcPr>
            <w:tcW w:w="945" w:type="dxa"/>
            <w:gridSpan w:val="2"/>
            <w:tcBorders>
              <w:top w:val="double" w:sz="8" w:space="0" w:color="000000"/>
              <w:left w:val="nil"/>
              <w:bottom w:val="nil"/>
              <w:right w:val="nil"/>
            </w:tcBorders>
            <w:tcMar>
              <w:top w:w="0" w:type="dxa"/>
              <w:left w:w="0" w:type="dxa"/>
              <w:bottom w:w="0" w:type="dxa"/>
              <w:right w:w="0" w:type="dxa"/>
            </w:tcMar>
            <w:vAlign w:val="bottom"/>
          </w:tcPr>
          <w:p w14:paraId="6F2B404E"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694EE287" w14:textId="77777777" w:rsidR="00D0338B" w:rsidRDefault="00D0338B"/>
        </w:tc>
        <w:tc>
          <w:tcPr>
            <w:tcW w:w="945" w:type="dxa"/>
            <w:gridSpan w:val="2"/>
            <w:tcBorders>
              <w:top w:val="nil"/>
              <w:left w:val="nil"/>
              <w:bottom w:val="nil"/>
              <w:right w:val="nil"/>
            </w:tcBorders>
            <w:tcMar>
              <w:top w:w="0" w:type="dxa"/>
              <w:left w:w="0" w:type="dxa"/>
              <w:bottom w:w="0" w:type="dxa"/>
              <w:right w:w="0" w:type="dxa"/>
            </w:tcMar>
            <w:vAlign w:val="bottom"/>
          </w:tcPr>
          <w:p w14:paraId="12553661" w14:textId="77777777" w:rsidR="00D0338B" w:rsidRDefault="00D0338B"/>
        </w:tc>
      </w:tr>
    </w:tbl>
    <w:p w14:paraId="16729363" w14:textId="77777777" w:rsidR="00D0338B" w:rsidRDefault="00D0338B">
      <w:pPr>
        <w:spacing w:line="288" w:lineRule="auto"/>
        <w:rPr>
          <w:rFonts w:ascii="Arial" w:eastAsia="Arial" w:hAnsi="Arial" w:cs="Arial"/>
          <w:sz w:val="16"/>
        </w:rPr>
      </w:pPr>
      <w:bookmarkStart w:id="5" w:name="Section6"/>
      <w:bookmarkEnd w:id="5"/>
    </w:p>
    <w:p w14:paraId="448D0A4A" w14:textId="77777777" w:rsidR="00D0338B" w:rsidRDefault="00DB7EA0">
      <w:pPr>
        <w:numPr>
          <w:ilvl w:val="0"/>
          <w:numId w:val="9"/>
        </w:numPr>
        <w:spacing w:line="288" w:lineRule="auto"/>
        <w:ind w:left="360"/>
        <w:rPr>
          <w:rFonts w:ascii="Arial" w:eastAsia="Arial" w:hAnsi="Arial" w:cs="Arial"/>
          <w:sz w:val="16"/>
        </w:rPr>
      </w:pPr>
      <w:r>
        <w:rPr>
          <w:rFonts w:ascii="Arial" w:eastAsia="Arial" w:hAnsi="Arial" w:cs="Arial"/>
          <w:sz w:val="16"/>
        </w:rPr>
        <w:t>Represents FERC-regulated municipal and unregulated off-system sales. KU's service to eight municipalities terminated effective April 30, 2019. KU continues to provide service to two municipalities.</w:t>
      </w:r>
    </w:p>
    <w:p w14:paraId="71D0A41A" w14:textId="77777777" w:rsidR="00D0338B" w:rsidRDefault="00D0338B">
      <w:pPr>
        <w:spacing w:line="288" w:lineRule="auto"/>
        <w:rPr>
          <w:sz w:val="20"/>
        </w:rPr>
      </w:pPr>
    </w:p>
    <w:p w14:paraId="6C3476DF" w14:textId="77777777" w:rsidR="00D0338B" w:rsidRDefault="00D0338B">
      <w:pPr>
        <w:spacing w:line="288" w:lineRule="auto"/>
        <w:sectPr w:rsidR="00D0338B">
          <w:headerReference w:type="default" r:id="rId19"/>
          <w:footerReference w:type="default" r:id="rId20"/>
          <w:pgSz w:w="12240" w:h="15840"/>
          <w:pgMar w:top="720" w:right="720" w:bottom="720" w:left="1080" w:header="270" w:footer="270" w:gutter="0"/>
          <w:cols w:space="708"/>
        </w:sect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198A1013"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33C14BEA" w14:textId="77777777" w:rsidR="00D0338B" w:rsidRDefault="00DB7EA0">
            <w:pPr>
              <w:keepNext/>
              <w:spacing w:before="53" w:after="30"/>
            </w:pPr>
            <w:r>
              <w:rPr>
                <w:rFonts w:ascii="Arial" w:eastAsia="Arial" w:hAnsi="Arial" w:cs="Arial"/>
                <w:b/>
                <w:color w:val="000000"/>
                <w:sz w:val="20"/>
              </w:rPr>
              <w:lastRenderedPageBreak/>
              <w:t>Reconciliation of Segment Reported Earnings to Earnings from Ongoing Operations</w:t>
            </w:r>
          </w:p>
        </w:tc>
      </w:tr>
      <w:tr w:rsidR="00D0338B" w14:paraId="2B7D52DE"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609767FE" w14:textId="77777777" w:rsidR="00D0338B" w:rsidRDefault="00DB7EA0">
            <w:pPr>
              <w:keepNext/>
              <w:spacing w:before="53" w:after="30"/>
            </w:pPr>
            <w:r>
              <w:rPr>
                <w:rFonts w:ascii="Arial" w:eastAsia="Arial" w:hAnsi="Arial" w:cs="Arial"/>
                <w:b/>
                <w:color w:val="000000"/>
                <w:sz w:val="20"/>
              </w:rPr>
              <w:t>(After-Tax)</w:t>
            </w:r>
          </w:p>
        </w:tc>
      </w:tr>
      <w:tr w:rsidR="00D0338B" w14:paraId="287560ED"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01E0CF17" w14:textId="77777777" w:rsidR="00D0338B" w:rsidRDefault="00DB7EA0">
            <w:pPr>
              <w:keepNext/>
              <w:spacing w:before="53" w:after="30"/>
            </w:pPr>
            <w:r>
              <w:rPr>
                <w:rFonts w:ascii="Arial" w:eastAsia="Arial" w:hAnsi="Arial" w:cs="Arial"/>
                <w:b/>
                <w:color w:val="000000"/>
                <w:sz w:val="20"/>
              </w:rPr>
              <w:t>(Unaudited)</w:t>
            </w:r>
          </w:p>
        </w:tc>
      </w:tr>
      <w:tr w:rsidR="00D0338B" w14:paraId="6911ADF4"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3A142716" w14:textId="77777777" w:rsidR="00D0338B" w:rsidRDefault="00D0338B">
            <w:pPr>
              <w:keepNext/>
            </w:pPr>
          </w:p>
        </w:tc>
        <w:tc>
          <w:tcPr>
            <w:tcW w:w="5025" w:type="dxa"/>
            <w:gridSpan w:val="19"/>
            <w:tcBorders>
              <w:top w:val="nil"/>
              <w:left w:val="nil"/>
              <w:bottom w:val="nil"/>
              <w:right w:val="nil"/>
            </w:tcBorders>
            <w:tcMar>
              <w:top w:w="0" w:type="dxa"/>
              <w:left w:w="0" w:type="dxa"/>
              <w:bottom w:w="0" w:type="dxa"/>
              <w:right w:w="0" w:type="dxa"/>
            </w:tcMar>
            <w:vAlign w:val="bottom"/>
          </w:tcPr>
          <w:p w14:paraId="322C504F" w14:textId="77777777" w:rsidR="00D0338B" w:rsidRDefault="00D0338B">
            <w:pPr>
              <w:keepNext/>
            </w:pPr>
          </w:p>
        </w:tc>
      </w:tr>
      <w:tr w:rsidR="00D0338B" w14:paraId="39C21C03" w14:textId="77777777">
        <w:trPr>
          <w:cantSplit/>
          <w:trHeight w:hRule="exact" w:val="255"/>
          <w:jc w:val="center"/>
        </w:trPr>
        <w:tc>
          <w:tcPr>
            <w:tcW w:w="5235" w:type="dxa"/>
            <w:tcBorders>
              <w:top w:val="nil"/>
              <w:left w:val="nil"/>
              <w:bottom w:val="nil"/>
              <w:right w:val="nil"/>
            </w:tcBorders>
            <w:tcMar>
              <w:top w:w="0" w:type="dxa"/>
              <w:left w:w="53" w:type="dxa"/>
              <w:bottom w:w="0" w:type="dxa"/>
              <w:right w:w="53" w:type="dxa"/>
            </w:tcMar>
            <w:vAlign w:val="bottom"/>
          </w:tcPr>
          <w:p w14:paraId="664B5FE0" w14:textId="77777777" w:rsidR="00D0338B" w:rsidRDefault="00DB7EA0">
            <w:pPr>
              <w:keepNext/>
              <w:spacing w:before="53" w:after="30"/>
            </w:pPr>
            <w:r>
              <w:rPr>
                <w:rFonts w:ascii="Arial" w:eastAsia="Arial" w:hAnsi="Arial" w:cs="Arial"/>
                <w:color w:val="000000"/>
                <w:sz w:val="16"/>
              </w:rPr>
              <w:t>4th Quarter 2020</w:t>
            </w: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74AA0657" w14:textId="77777777" w:rsidR="00D0338B" w:rsidRDefault="00DB7EA0">
            <w:pPr>
              <w:keepNext/>
              <w:spacing w:before="53" w:after="30"/>
              <w:jc w:val="center"/>
            </w:pPr>
            <w:r>
              <w:rPr>
                <w:rFonts w:ascii="Arial" w:eastAsia="Arial" w:hAnsi="Arial" w:cs="Arial"/>
                <w:color w:val="000000"/>
                <w:sz w:val="16"/>
              </w:rPr>
              <w:t>(millions of dollars)</w:t>
            </w:r>
          </w:p>
        </w:tc>
      </w:tr>
      <w:tr w:rsidR="00D0338B" w14:paraId="1D18657D"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66B961D9"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70EBBBF6"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E96CF6B"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1AA009E0"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8A78D3A"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1EE19C0D"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02C581E"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503D55FB"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C186B47"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2FD86E9E" w14:textId="77777777" w:rsidR="00D0338B" w:rsidRDefault="00D0338B">
            <w:pPr>
              <w:keepNext/>
            </w:pPr>
          </w:p>
        </w:tc>
      </w:tr>
      <w:tr w:rsidR="00D0338B" w14:paraId="6189B297"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4BFA27D4"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56D6CB6D"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09470585"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04AB6888"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3ED5D923"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2CF7E23E"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3CAF25C9"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264971E1"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6AA280C1"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773258E8"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6D18916A"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A9543DD" w14:textId="77777777" w:rsidR="00D0338B" w:rsidRDefault="00DB7EA0">
            <w:pPr>
              <w:keepNext/>
              <w:spacing w:before="53" w:after="3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B595C89"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E3FD94C" w14:textId="77777777" w:rsidR="00D0338B" w:rsidRDefault="00DB7EA0">
            <w:pPr>
              <w:keepNext/>
              <w:spacing w:before="33" w:after="30"/>
              <w:jc w:val="right"/>
            </w:pPr>
            <w:r>
              <w:rPr>
                <w:rFonts w:ascii="Arial" w:eastAsia="Arial" w:hAnsi="Arial" w:cs="Arial"/>
                <w:color w:val="000000"/>
                <w:sz w:val="16"/>
              </w:rPr>
              <w:t>112 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280172C"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05AF4C"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022FF48"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9A82C9F" w14:textId="77777777" w:rsidR="00D0338B" w:rsidRDefault="00DB7EA0">
            <w:pPr>
              <w:keepNext/>
              <w:spacing w:before="33" w:after="30"/>
              <w:jc w:val="right"/>
            </w:pPr>
            <w:r>
              <w:rPr>
                <w:rFonts w:ascii="Arial" w:eastAsia="Arial" w:hAnsi="Arial" w:cs="Arial"/>
                <w:color w:val="000000"/>
                <w:sz w:val="16"/>
              </w:rPr>
              <w:t>88 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3C4A3D5"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CDF493"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D2C8F35"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17EBBFF" w14:textId="77777777" w:rsidR="00D0338B" w:rsidRDefault="00DB7EA0">
            <w:pPr>
              <w:keepNext/>
              <w:spacing w:before="33" w:after="30"/>
              <w:jc w:val="right"/>
            </w:pPr>
            <w:r>
              <w:rPr>
                <w:rFonts w:ascii="Arial" w:eastAsia="Arial" w:hAnsi="Arial" w:cs="Arial"/>
                <w:color w:val="000000"/>
                <w:sz w:val="16"/>
              </w:rPr>
              <w:t>126 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5FEF404"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E3F0C7"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398EC63"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CB199F6" w14:textId="77777777" w:rsidR="00D0338B" w:rsidRDefault="00DB7EA0">
            <w:pPr>
              <w:keepNext/>
              <w:spacing w:before="33" w:after="30"/>
              <w:jc w:val="right"/>
            </w:pPr>
            <w:r>
              <w:rPr>
                <w:rFonts w:ascii="Arial" w:eastAsia="Arial" w:hAnsi="Arial" w:cs="Arial"/>
                <w:color w:val="000000"/>
                <w:sz w:val="16"/>
              </w:rPr>
              <w:t>(36)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46C3FEB"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DCF422"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28EAD6B"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69FBF62" w14:textId="77777777" w:rsidR="00D0338B" w:rsidRDefault="00DB7EA0">
            <w:pPr>
              <w:keepNext/>
              <w:spacing w:before="33" w:after="30"/>
              <w:jc w:val="right"/>
            </w:pPr>
            <w:r>
              <w:rPr>
                <w:rFonts w:ascii="Arial" w:eastAsia="Arial" w:hAnsi="Arial" w:cs="Arial"/>
                <w:color w:val="000000"/>
                <w:sz w:val="16"/>
              </w:rPr>
              <w:t>290 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97DE073" w14:textId="77777777" w:rsidR="00D0338B" w:rsidRDefault="00D0338B">
            <w:pPr>
              <w:keepNext/>
              <w:spacing w:before="33" w:after="30"/>
              <w:jc w:val="right"/>
            </w:pPr>
          </w:p>
        </w:tc>
      </w:tr>
      <w:tr w:rsidR="00D0338B" w14:paraId="3EE32E46"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628F703D"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33D1C12F"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ECE691"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6B560EE2"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85D582"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C5CBB2A"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84F30D"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136D2DCA"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825FCB"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4AA1DE8A" w14:textId="77777777" w:rsidR="00D0338B" w:rsidRDefault="00D0338B">
            <w:pPr>
              <w:keepNext/>
            </w:pPr>
          </w:p>
        </w:tc>
      </w:tr>
      <w:tr w:rsidR="00D0338B" w14:paraId="55443FB4"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2C72FA9D" w14:textId="77777777" w:rsidR="00D0338B" w:rsidRDefault="00DB7EA0">
            <w:pPr>
              <w:keepNext/>
              <w:spacing w:before="53" w:after="30"/>
            </w:pPr>
            <w:r>
              <w:rPr>
                <w:rFonts w:ascii="Arial" w:eastAsia="Arial" w:hAnsi="Arial" w:cs="Arial"/>
                <w:color w:val="000000"/>
                <w:sz w:val="16"/>
              </w:rPr>
              <w:t>Foreign currency economic hedges, net of tax of $37</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20521F1" w14:textId="77777777" w:rsidR="00D0338B" w:rsidRDefault="00DB7EA0">
            <w:pPr>
              <w:keepNext/>
              <w:spacing w:before="53" w:after="30"/>
              <w:jc w:val="right"/>
            </w:pPr>
            <w:r>
              <w:rPr>
                <w:rFonts w:ascii="Arial" w:eastAsia="Arial" w:hAnsi="Arial" w:cs="Arial"/>
                <w:color w:val="000000"/>
                <w:sz w:val="16"/>
              </w:rPr>
              <w:t>(140)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9F3EA47"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6F6376"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5476C27"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0CD62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817D8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2DB95D37"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39D129"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19E4FE"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072A89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9BB3553"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F9840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84AAFF9" w14:textId="77777777" w:rsidR="00D0338B" w:rsidRDefault="00DB7EA0">
            <w:pPr>
              <w:keepNext/>
              <w:spacing w:before="53" w:after="30"/>
              <w:jc w:val="right"/>
            </w:pPr>
            <w:r>
              <w:rPr>
                <w:rFonts w:ascii="Arial" w:eastAsia="Arial" w:hAnsi="Arial" w:cs="Arial"/>
                <w:color w:val="000000"/>
                <w:sz w:val="16"/>
              </w:rPr>
              <w:t>(140)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44DBC79" w14:textId="77777777" w:rsidR="00D0338B" w:rsidRDefault="00D0338B">
            <w:pPr>
              <w:keepNext/>
              <w:spacing w:before="53" w:after="30"/>
              <w:jc w:val="right"/>
            </w:pPr>
          </w:p>
        </w:tc>
      </w:tr>
      <w:tr w:rsidR="00D0338B" w14:paraId="1282DD23"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64CBCC0" w14:textId="77777777" w:rsidR="00D0338B" w:rsidRDefault="00DB7EA0">
            <w:pPr>
              <w:keepNext/>
              <w:spacing w:before="53" w:after="30"/>
            </w:pPr>
            <w:r>
              <w:rPr>
                <w:rFonts w:ascii="Arial" w:eastAsia="Arial" w:hAnsi="Arial" w:cs="Arial"/>
                <w:color w:val="000000"/>
                <w:sz w:val="16"/>
              </w:rPr>
              <w:t>Talen litigation costs, net of tax of $1</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8F1DBD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18C2CB0"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9B246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7FD002F7"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A0EBA7C"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151185"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D4DF96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366A9D6"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8E250D"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C3020F1" w14:textId="77777777" w:rsidR="00D0338B" w:rsidRDefault="00DB7EA0">
            <w:pPr>
              <w:keepNext/>
              <w:spacing w:before="53" w:after="30"/>
              <w:jc w:val="right"/>
            </w:pPr>
            <w:r>
              <w:rPr>
                <w:rFonts w:ascii="Arial" w:eastAsia="Arial" w:hAnsi="Arial" w:cs="Arial"/>
                <w:color w:val="000000"/>
                <w:sz w:val="16"/>
              </w:rPr>
              <w:t>(7)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D6C8063"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8630B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750741F4" w14:textId="77777777" w:rsidR="00D0338B" w:rsidRDefault="00DB7EA0">
            <w:pPr>
              <w:keepNext/>
              <w:spacing w:before="53" w:after="30"/>
              <w:jc w:val="right"/>
            </w:pPr>
            <w:r>
              <w:rPr>
                <w:rFonts w:ascii="Arial" w:eastAsia="Arial" w:hAnsi="Arial" w:cs="Arial"/>
                <w:color w:val="000000"/>
                <w:sz w:val="16"/>
              </w:rPr>
              <w:t>(7)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27A224E" w14:textId="77777777" w:rsidR="00D0338B" w:rsidRDefault="00D0338B">
            <w:pPr>
              <w:keepNext/>
              <w:spacing w:before="53" w:after="30"/>
              <w:jc w:val="right"/>
            </w:pPr>
          </w:p>
        </w:tc>
      </w:tr>
      <w:tr w:rsidR="00D0338B" w14:paraId="5FD8C6F6"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416A302D" w14:textId="77777777" w:rsidR="00D0338B" w:rsidRDefault="00DB7EA0">
            <w:pPr>
              <w:keepNext/>
              <w:spacing w:before="53" w:after="30"/>
              <w:outlineLvl w:val="0"/>
              <w:rPr>
                <w:rFonts w:ascii="Arial" w:eastAsia="Arial" w:hAnsi="Arial" w:cs="Arial"/>
                <w:sz w:val="16"/>
              </w:rPr>
            </w:pPr>
            <w:r>
              <w:rPr>
                <w:rFonts w:ascii="Arial" w:eastAsia="Arial" w:hAnsi="Arial" w:cs="Arial"/>
                <w:sz w:val="16"/>
              </w:rPr>
              <w:t xml:space="preserve">COVID-19 impact, net of tax of $0, $0, $0, $0 </w:t>
            </w:r>
            <w:r>
              <w:rPr>
                <w:rFonts w:ascii="Arial" w:eastAsia="Arial" w:hAnsi="Arial" w:cs="Arial"/>
                <w:sz w:val="16"/>
                <w:vertAlign w:val="superscript"/>
              </w:rPr>
              <w:t>(2)</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21C70B7C"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10656B"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0F9DC0"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E23AD8A" w14:textId="77777777" w:rsidR="00D0338B" w:rsidRDefault="00DB7EA0">
            <w:pPr>
              <w:keepNext/>
              <w:spacing w:before="53" w:after="30"/>
              <w:jc w:val="right"/>
            </w:pPr>
            <w:r>
              <w:rPr>
                <w:rFonts w:ascii="Arial" w:eastAsia="Arial" w:hAnsi="Arial" w:cs="Arial"/>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9C531F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1BB33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AB72BE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01D397B"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32EC5D"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8A28CF9"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F06D01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6B20C9"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FD58B98" w14:textId="77777777" w:rsidR="00D0338B" w:rsidRDefault="00DB7EA0">
            <w:pPr>
              <w:keepNext/>
              <w:spacing w:before="53" w:after="30"/>
              <w:jc w:val="right"/>
            </w:pPr>
            <w:r>
              <w:rPr>
                <w:rFonts w:ascii="Arial" w:eastAsia="Arial" w:hAnsi="Arial" w:cs="Arial"/>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59387D" w14:textId="77777777" w:rsidR="00D0338B" w:rsidRDefault="00D0338B">
            <w:pPr>
              <w:keepNext/>
              <w:spacing w:before="53" w:after="30"/>
              <w:jc w:val="right"/>
            </w:pPr>
          </w:p>
        </w:tc>
      </w:tr>
      <w:tr w:rsidR="00D0338B" w14:paraId="17069887"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1A55A403" w14:textId="77777777" w:rsidR="00D0338B" w:rsidRDefault="00DB7EA0">
            <w:pPr>
              <w:keepNext/>
              <w:spacing w:before="53" w:after="30"/>
            </w:pPr>
            <w:r>
              <w:rPr>
                <w:rFonts w:ascii="Arial" w:eastAsia="Arial" w:hAnsi="Arial" w:cs="Arial"/>
                <w:color w:val="000000"/>
                <w:sz w:val="16"/>
              </w:rPr>
              <w:t>Strategic corporate initiatives, net of tax of $0, $0, $0, $1</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281B5FE" w14:textId="77777777" w:rsidR="00D0338B" w:rsidRDefault="00DB7EA0">
            <w:pPr>
              <w:keepNext/>
              <w:spacing w:before="53" w:after="30"/>
              <w:jc w:val="right"/>
            </w:pPr>
            <w:r>
              <w:rPr>
                <w:rFonts w:ascii="Arial" w:eastAsia="Arial" w:hAnsi="Arial" w:cs="Arial"/>
                <w:color w:val="000000"/>
                <w:sz w:val="16"/>
              </w:rPr>
              <w:t>(8)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52FC63D"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D4DA6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4CB0C10"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C9AA491"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A837F3"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77746FC"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EB05FE"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51AFF2"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7CD7CC79" w14:textId="77777777" w:rsidR="00D0338B" w:rsidRDefault="00DB7EA0">
            <w:pPr>
              <w:keepNext/>
              <w:spacing w:before="53" w:after="30"/>
              <w:jc w:val="right"/>
            </w:pPr>
            <w:r>
              <w:rPr>
                <w:rFonts w:ascii="Arial" w:eastAsia="Arial" w:hAnsi="Arial" w:cs="Arial"/>
                <w:color w:val="000000"/>
                <w:sz w:val="16"/>
              </w:rPr>
              <w:t>(4)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DCC3E02"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73BCE7"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622AC3B" w14:textId="77777777" w:rsidR="00D0338B" w:rsidRDefault="00DB7EA0">
            <w:pPr>
              <w:keepNext/>
              <w:spacing w:before="53" w:after="30"/>
              <w:jc w:val="right"/>
            </w:pPr>
            <w:r>
              <w:rPr>
                <w:rFonts w:ascii="Arial" w:eastAsia="Arial" w:hAnsi="Arial" w:cs="Arial"/>
                <w:color w:val="000000"/>
                <w:sz w:val="16"/>
              </w:rPr>
              <w:t>(12)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B3623C1" w14:textId="77777777" w:rsidR="00D0338B" w:rsidRDefault="00D0338B">
            <w:pPr>
              <w:keepNext/>
              <w:spacing w:before="53" w:after="30"/>
              <w:jc w:val="right"/>
            </w:pPr>
          </w:p>
        </w:tc>
      </w:tr>
      <w:tr w:rsidR="00D0338B" w14:paraId="3B067F6B" w14:textId="77777777">
        <w:trPr>
          <w:cantSplit/>
          <w:trHeight w:hRule="exact" w:val="300"/>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3163ECB" w14:textId="77777777" w:rsidR="00D0338B" w:rsidRDefault="00DB7EA0">
            <w:pPr>
              <w:keepNext/>
              <w:spacing w:before="53" w:after="30"/>
            </w:pPr>
            <w:r>
              <w:rPr>
                <w:rFonts w:ascii="Arial" w:eastAsia="Arial" w:hAnsi="Arial" w:cs="Arial"/>
                <w:color w:val="000000"/>
                <w:sz w:val="16"/>
              </w:rPr>
              <w:t>Executive retirement benefits, net of tax of $2</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773E41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020105"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EE25A4"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A26ABC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89857F8"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738FCD"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760629F"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7B43B9C"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5FC54F"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D214848" w14:textId="77777777" w:rsidR="00D0338B" w:rsidRDefault="00DB7EA0">
            <w:pPr>
              <w:keepNext/>
              <w:spacing w:before="53" w:after="30"/>
              <w:jc w:val="right"/>
            </w:pPr>
            <w:r>
              <w:rPr>
                <w:rFonts w:ascii="Arial" w:eastAsia="Arial" w:hAnsi="Arial" w:cs="Arial"/>
                <w:color w:val="000000"/>
                <w:sz w:val="16"/>
              </w:rPr>
              <w:t>(6)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DED12B"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0B1E62"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899858B" w14:textId="77777777" w:rsidR="00D0338B" w:rsidRDefault="00DB7EA0">
            <w:pPr>
              <w:keepNext/>
              <w:spacing w:before="53" w:after="30"/>
              <w:jc w:val="right"/>
            </w:pPr>
            <w:r>
              <w:rPr>
                <w:rFonts w:ascii="Arial" w:eastAsia="Arial" w:hAnsi="Arial" w:cs="Arial"/>
                <w:color w:val="000000"/>
                <w:sz w:val="16"/>
              </w:rPr>
              <w:t>(6)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4A50D93" w14:textId="77777777" w:rsidR="00D0338B" w:rsidRDefault="00D0338B">
            <w:pPr>
              <w:keepNext/>
              <w:spacing w:before="53" w:after="30"/>
              <w:jc w:val="right"/>
            </w:pPr>
          </w:p>
        </w:tc>
      </w:tr>
      <w:tr w:rsidR="00D0338B" w14:paraId="3708D4EB"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0352FC7F" w14:textId="77777777" w:rsidR="00D0338B" w:rsidRDefault="00DB7EA0">
            <w:pPr>
              <w:keepNext/>
              <w:spacing w:before="53" w:after="30"/>
            </w:pPr>
            <w:r>
              <w:rPr>
                <w:rFonts w:ascii="Arial" w:eastAsia="Arial" w:hAnsi="Arial" w:cs="Arial"/>
                <w:b/>
                <w:color w:val="000000"/>
                <w:sz w:val="16"/>
              </w:rPr>
              <w:t>Total Special Items</w:t>
            </w: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1AD58B3" w14:textId="77777777" w:rsidR="00D0338B" w:rsidRDefault="00DB7EA0">
            <w:pPr>
              <w:keepNext/>
              <w:spacing w:before="33" w:after="30"/>
              <w:jc w:val="right"/>
            </w:pPr>
            <w:r>
              <w:rPr>
                <w:rFonts w:ascii="Arial" w:eastAsia="Arial" w:hAnsi="Arial" w:cs="Arial"/>
                <w:color w:val="000000"/>
                <w:sz w:val="16"/>
              </w:rPr>
              <w:t>(148)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230863A"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9A1637"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4533032" w14:textId="77777777" w:rsidR="00D0338B" w:rsidRDefault="00DB7EA0">
            <w:pPr>
              <w:keepNext/>
              <w:spacing w:before="33" w:after="30"/>
              <w:jc w:val="right"/>
            </w:pPr>
            <w:r>
              <w:rPr>
                <w:rFonts w:ascii="Arial" w:eastAsia="Arial" w:hAnsi="Arial" w:cs="Arial"/>
                <w:color w:val="000000"/>
                <w:sz w:val="16"/>
              </w:rPr>
              <w:t>(1)</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66CBD6F"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AC5245"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1DD0027"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65B9EE7"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EBC960"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7995053" w14:textId="77777777" w:rsidR="00D0338B" w:rsidRDefault="00DB7EA0">
            <w:pPr>
              <w:keepNext/>
              <w:spacing w:before="33" w:after="30"/>
              <w:jc w:val="right"/>
            </w:pPr>
            <w:r>
              <w:rPr>
                <w:rFonts w:ascii="Arial" w:eastAsia="Arial" w:hAnsi="Arial" w:cs="Arial"/>
                <w:color w:val="000000"/>
                <w:sz w:val="16"/>
              </w:rPr>
              <w:t>(17)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FAB6216"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DEA8FB"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505677F" w14:textId="77777777" w:rsidR="00D0338B" w:rsidRDefault="00DB7EA0">
            <w:pPr>
              <w:keepNext/>
              <w:spacing w:before="33" w:after="30"/>
              <w:jc w:val="right"/>
            </w:pPr>
            <w:r>
              <w:rPr>
                <w:rFonts w:ascii="Arial" w:eastAsia="Arial" w:hAnsi="Arial" w:cs="Arial"/>
                <w:color w:val="000000"/>
                <w:sz w:val="16"/>
              </w:rPr>
              <w:t>(166)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B604375" w14:textId="77777777" w:rsidR="00D0338B" w:rsidRDefault="00D0338B">
            <w:pPr>
              <w:keepNext/>
              <w:spacing w:before="33" w:after="30"/>
              <w:jc w:val="right"/>
            </w:pPr>
          </w:p>
        </w:tc>
      </w:tr>
      <w:tr w:rsidR="00D0338B" w14:paraId="27396E6B"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68DD071F" w14:textId="77777777" w:rsidR="00D0338B" w:rsidRDefault="00DB7EA0">
            <w:pPr>
              <w:keepNext/>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267229B"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9A74ED4" w14:textId="77777777" w:rsidR="00D0338B" w:rsidRDefault="00DB7EA0">
            <w:pPr>
              <w:keepNext/>
              <w:spacing w:before="33" w:after="30"/>
              <w:jc w:val="right"/>
            </w:pPr>
            <w:r>
              <w:rPr>
                <w:rFonts w:ascii="Arial" w:eastAsia="Arial" w:hAnsi="Arial" w:cs="Arial"/>
                <w:color w:val="000000"/>
                <w:sz w:val="16"/>
              </w:rPr>
              <w:t>260 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287EF8A"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FD476B"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6A995E2"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2E7D9E9" w14:textId="77777777" w:rsidR="00D0338B" w:rsidRDefault="00DB7EA0">
            <w:pPr>
              <w:keepNext/>
              <w:spacing w:before="33" w:after="30"/>
              <w:jc w:val="right"/>
            </w:pPr>
            <w:r>
              <w:rPr>
                <w:rFonts w:ascii="Arial" w:eastAsia="Arial" w:hAnsi="Arial" w:cs="Arial"/>
                <w:color w:val="000000"/>
                <w:sz w:val="16"/>
              </w:rPr>
              <w:t>89 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39FC58B"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6A2FC0"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BB6B2C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AF6BC24" w14:textId="77777777" w:rsidR="00D0338B" w:rsidRDefault="00DB7EA0">
            <w:pPr>
              <w:keepNext/>
              <w:spacing w:before="33" w:after="30"/>
              <w:jc w:val="right"/>
            </w:pPr>
            <w:r>
              <w:rPr>
                <w:rFonts w:ascii="Arial" w:eastAsia="Arial" w:hAnsi="Arial" w:cs="Arial"/>
                <w:color w:val="000000"/>
                <w:sz w:val="16"/>
              </w:rPr>
              <w:t>126 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69C7E2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A18107"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ADFCCF8"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6C747B9" w14:textId="77777777" w:rsidR="00D0338B" w:rsidRDefault="00DB7EA0">
            <w:pPr>
              <w:keepNext/>
              <w:spacing w:before="33" w:after="30"/>
              <w:jc w:val="right"/>
            </w:pPr>
            <w:r>
              <w:rPr>
                <w:rFonts w:ascii="Arial" w:eastAsia="Arial" w:hAnsi="Arial" w:cs="Arial"/>
                <w:color w:val="000000"/>
                <w:sz w:val="16"/>
              </w:rPr>
              <w:t>(19)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61740F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247637"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2D7C2B7"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A55E32A" w14:textId="77777777" w:rsidR="00D0338B" w:rsidRDefault="00DB7EA0">
            <w:pPr>
              <w:keepNext/>
              <w:spacing w:before="33" w:after="30"/>
              <w:jc w:val="right"/>
            </w:pPr>
            <w:r>
              <w:rPr>
                <w:rFonts w:ascii="Arial" w:eastAsia="Arial" w:hAnsi="Arial" w:cs="Arial"/>
                <w:color w:val="000000"/>
                <w:sz w:val="16"/>
              </w:rPr>
              <w:t>456 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BF87F54" w14:textId="77777777" w:rsidR="00D0338B" w:rsidRDefault="00D0338B">
            <w:pPr>
              <w:keepNext/>
              <w:spacing w:before="33" w:after="30"/>
              <w:jc w:val="right"/>
            </w:pPr>
          </w:p>
        </w:tc>
      </w:tr>
      <w:tr w:rsidR="00D0338B" w14:paraId="7E40C42A"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614DBB7D"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7E1E8239"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7376C069"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2DC07827"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4BCE3B52"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41C699BF"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7B050FDF"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0C3ED5E7"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61A0A401"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6AC0B731" w14:textId="77777777" w:rsidR="00D0338B" w:rsidRDefault="00D0338B"/>
        </w:tc>
      </w:tr>
    </w:tbl>
    <w:p w14:paraId="15B278A5" w14:textId="77777777" w:rsidR="00D0338B" w:rsidRDefault="00D0338B">
      <w:pPr>
        <w:spacing w:after="100"/>
        <w:rPr>
          <w:sz w:val="10"/>
        </w:rPr>
      </w:pPr>
      <w:bookmarkStart w:id="6" w:name="Section7"/>
      <w:bookmarkEnd w:id="6"/>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205F669B"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7ACB0F4E" w14:textId="77777777" w:rsidR="00D0338B" w:rsidRDefault="00D0338B">
            <w:pPr>
              <w:keepNext/>
            </w:pP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5B171A78" w14:textId="77777777" w:rsidR="00D0338B" w:rsidRDefault="00DB7EA0">
            <w:pPr>
              <w:keepNext/>
              <w:spacing w:before="53" w:after="30"/>
              <w:jc w:val="center"/>
            </w:pPr>
            <w:r>
              <w:rPr>
                <w:rFonts w:ascii="Arial" w:eastAsia="Arial" w:hAnsi="Arial" w:cs="Arial"/>
                <w:color w:val="000000"/>
                <w:sz w:val="16"/>
              </w:rPr>
              <w:t>(per share - diluted)</w:t>
            </w:r>
          </w:p>
        </w:tc>
      </w:tr>
      <w:tr w:rsidR="00D0338B" w14:paraId="18509761"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06F00933"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419DA88B"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857AD1E"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369942D2"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0A553D9"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518E7257"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0C54A85"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0BC8C522"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03F63A6"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0ADE96EC" w14:textId="77777777" w:rsidR="00D0338B" w:rsidRDefault="00D0338B">
            <w:pPr>
              <w:keepNext/>
            </w:pPr>
          </w:p>
        </w:tc>
      </w:tr>
      <w:tr w:rsidR="00D0338B" w14:paraId="16B007BE"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66CC2E31"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4214F25B"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38A25DC2"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47F3A701"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95AAECC"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56F0B55B"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B6A3774"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4DE3D59"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3CE461DD"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208B2FA8"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46FFAFA4"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A25B0FA" w14:textId="77777777" w:rsidR="00D0338B" w:rsidRDefault="00DB7EA0">
            <w:pPr>
              <w:keepNext/>
              <w:spacing w:before="53" w:after="3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303666D"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47D23F7" w14:textId="77777777" w:rsidR="00D0338B" w:rsidRDefault="00DB7EA0">
            <w:pPr>
              <w:keepNext/>
              <w:spacing w:before="33" w:after="30"/>
              <w:jc w:val="right"/>
            </w:pPr>
            <w:r>
              <w:rPr>
                <w:rFonts w:ascii="Arial" w:eastAsia="Arial" w:hAnsi="Arial" w:cs="Arial"/>
                <w:color w:val="000000"/>
                <w:sz w:val="16"/>
              </w:rPr>
              <w:t>0.15 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FD96F54"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90D6FC"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69469D9"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6AD7DAD" w14:textId="77777777" w:rsidR="00D0338B" w:rsidRDefault="00DB7EA0">
            <w:pPr>
              <w:keepNext/>
              <w:spacing w:before="33" w:after="30"/>
              <w:jc w:val="right"/>
            </w:pPr>
            <w:r>
              <w:rPr>
                <w:rFonts w:ascii="Arial" w:eastAsia="Arial" w:hAnsi="Arial" w:cs="Arial"/>
                <w:color w:val="000000"/>
                <w:sz w:val="16"/>
              </w:rPr>
              <w:t>0.11 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8BB398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99D3AC"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55A1DBD"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D33B499" w14:textId="77777777" w:rsidR="00D0338B" w:rsidRDefault="00DB7EA0">
            <w:pPr>
              <w:keepNext/>
              <w:spacing w:before="33" w:after="30"/>
              <w:jc w:val="right"/>
            </w:pPr>
            <w:r>
              <w:rPr>
                <w:rFonts w:ascii="Arial" w:eastAsia="Arial" w:hAnsi="Arial" w:cs="Arial"/>
                <w:color w:val="000000"/>
                <w:sz w:val="16"/>
              </w:rPr>
              <w:t>0.16 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3A442B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A097D7"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EEDC469"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294B78E" w14:textId="77777777" w:rsidR="00D0338B" w:rsidRDefault="00DB7EA0">
            <w:pPr>
              <w:keepNext/>
              <w:spacing w:before="33" w:after="30"/>
              <w:jc w:val="right"/>
            </w:pPr>
            <w:r>
              <w:rPr>
                <w:rFonts w:ascii="Arial" w:eastAsia="Arial" w:hAnsi="Arial" w:cs="Arial"/>
                <w:color w:val="000000"/>
                <w:sz w:val="16"/>
              </w:rPr>
              <w:t>(0.04)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E527A0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206EA0"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040FBA4"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802A4CF" w14:textId="77777777" w:rsidR="00D0338B" w:rsidRDefault="00DB7EA0">
            <w:pPr>
              <w:keepNext/>
              <w:spacing w:before="33" w:after="30"/>
              <w:jc w:val="right"/>
            </w:pPr>
            <w:r>
              <w:rPr>
                <w:rFonts w:ascii="Arial" w:eastAsia="Arial" w:hAnsi="Arial" w:cs="Arial"/>
                <w:color w:val="000000"/>
                <w:sz w:val="16"/>
              </w:rPr>
              <w:t>0.38 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879780F" w14:textId="77777777" w:rsidR="00D0338B" w:rsidRDefault="00D0338B">
            <w:pPr>
              <w:keepNext/>
              <w:spacing w:before="33" w:after="30"/>
              <w:jc w:val="right"/>
            </w:pPr>
          </w:p>
        </w:tc>
      </w:tr>
      <w:tr w:rsidR="00D0338B" w14:paraId="0E8DAB70"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5A01F866"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18A34862"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1C9D96"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3D64FFF"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C7AE91"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5A80F51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46B23F"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5330D448"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4CAD3E"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F9EEA41" w14:textId="77777777" w:rsidR="00D0338B" w:rsidRDefault="00D0338B">
            <w:pPr>
              <w:keepNext/>
            </w:pPr>
          </w:p>
        </w:tc>
      </w:tr>
      <w:tr w:rsidR="00D0338B" w14:paraId="4125C4FA"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6BF6A9D9" w14:textId="77777777" w:rsidR="00D0338B" w:rsidRDefault="00DB7EA0">
            <w:pPr>
              <w:keepNext/>
              <w:spacing w:before="53" w:after="30"/>
            </w:pPr>
            <w:r>
              <w:rPr>
                <w:rFonts w:ascii="Arial" w:eastAsia="Arial" w:hAnsi="Arial" w:cs="Arial"/>
                <w:color w:val="000000"/>
                <w:sz w:val="16"/>
              </w:rPr>
              <w:t>Foreign currency economic hedges</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0DED294" w14:textId="77777777" w:rsidR="00D0338B" w:rsidRDefault="00DB7EA0">
            <w:pPr>
              <w:keepNext/>
              <w:spacing w:before="53" w:after="30"/>
              <w:jc w:val="right"/>
            </w:pPr>
            <w:r>
              <w:rPr>
                <w:rFonts w:ascii="Arial" w:eastAsia="Arial" w:hAnsi="Arial" w:cs="Arial"/>
                <w:color w:val="000000"/>
                <w:sz w:val="16"/>
              </w:rPr>
              <w:t>(0.18)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417592"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483AFA"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70B79F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E52B6FE"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432C4D"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A0773E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AF5DDA6"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4511C2"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5C6FAE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93FE9B"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9B4ADD"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D93CFDC" w14:textId="77777777" w:rsidR="00D0338B" w:rsidRDefault="00DB7EA0">
            <w:pPr>
              <w:keepNext/>
              <w:spacing w:before="53" w:after="30"/>
              <w:jc w:val="right"/>
            </w:pPr>
            <w:r>
              <w:rPr>
                <w:rFonts w:ascii="Arial" w:eastAsia="Arial" w:hAnsi="Arial" w:cs="Arial"/>
                <w:color w:val="000000"/>
                <w:sz w:val="16"/>
              </w:rPr>
              <w:t>(0.18)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9A0104" w14:textId="77777777" w:rsidR="00D0338B" w:rsidRDefault="00D0338B">
            <w:pPr>
              <w:keepNext/>
              <w:spacing w:before="53" w:after="30"/>
              <w:jc w:val="right"/>
            </w:pPr>
          </w:p>
        </w:tc>
      </w:tr>
      <w:tr w:rsidR="00D0338B" w14:paraId="5DA06A89"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61029272" w14:textId="77777777" w:rsidR="00D0338B" w:rsidRDefault="00DB7EA0">
            <w:pPr>
              <w:keepNext/>
              <w:spacing w:before="53" w:after="30"/>
            </w:pPr>
            <w:r>
              <w:rPr>
                <w:rFonts w:ascii="Arial" w:eastAsia="Arial" w:hAnsi="Arial" w:cs="Arial"/>
                <w:color w:val="000000"/>
                <w:sz w:val="16"/>
              </w:rPr>
              <w:t>Talen litigation costs</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AB9014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6729672"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028035"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BFD6790"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37AF840"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92692C"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ED9801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14F583"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1B6ABF"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4ADAF827"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D6ED70B"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3CA9E6"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24E9B6C"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CAD40EC" w14:textId="77777777" w:rsidR="00D0338B" w:rsidRDefault="00D0338B">
            <w:pPr>
              <w:keepNext/>
              <w:spacing w:before="53" w:after="30"/>
              <w:jc w:val="right"/>
            </w:pPr>
          </w:p>
        </w:tc>
      </w:tr>
      <w:tr w:rsidR="00D0338B" w14:paraId="037EBFCB"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6E23EA93" w14:textId="77777777" w:rsidR="00D0338B" w:rsidRDefault="00DB7EA0">
            <w:pPr>
              <w:keepNext/>
              <w:spacing w:before="53" w:after="30"/>
            </w:pPr>
            <w:r>
              <w:rPr>
                <w:rFonts w:ascii="Arial" w:eastAsia="Arial" w:hAnsi="Arial" w:cs="Arial"/>
                <w:color w:val="000000"/>
                <w:sz w:val="16"/>
              </w:rPr>
              <w:t>Strategic corporate initiatives</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2EAFD50"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04E644"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029074"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46C6C23"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7D44D2"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C5F86A"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3D7E953"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1F07CC"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7ACD23"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41CA21C"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98409AD"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741535"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55E4030"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BD1322D" w14:textId="77777777" w:rsidR="00D0338B" w:rsidRDefault="00D0338B">
            <w:pPr>
              <w:keepNext/>
              <w:spacing w:before="53" w:after="30"/>
              <w:jc w:val="right"/>
            </w:pPr>
          </w:p>
        </w:tc>
      </w:tr>
      <w:tr w:rsidR="00D0338B" w14:paraId="55087C04" w14:textId="77777777">
        <w:trPr>
          <w:cantSplit/>
          <w:trHeight w:hRule="exact" w:val="300"/>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0908140" w14:textId="77777777" w:rsidR="00D0338B" w:rsidRDefault="00DB7EA0">
            <w:pPr>
              <w:keepNext/>
              <w:spacing w:before="53" w:after="30"/>
            </w:pPr>
            <w:r>
              <w:rPr>
                <w:rFonts w:ascii="Arial" w:eastAsia="Arial" w:hAnsi="Arial" w:cs="Arial"/>
                <w:color w:val="000000"/>
                <w:sz w:val="16"/>
              </w:rPr>
              <w:t>Executive retirement benefits</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2BB3810"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362800C"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D73C15"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0289E6F"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52F9FE"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4D4DCE"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BAEAB1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6E616E6"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09605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6C14A24"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045EF77"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007E66"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BFDE48C"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35B25E" w14:textId="77777777" w:rsidR="00D0338B" w:rsidRDefault="00D0338B">
            <w:pPr>
              <w:keepNext/>
              <w:spacing w:before="53" w:after="30"/>
              <w:jc w:val="right"/>
            </w:pPr>
          </w:p>
        </w:tc>
      </w:tr>
      <w:tr w:rsidR="00D0338B" w14:paraId="63B85C10"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418A8450" w14:textId="77777777" w:rsidR="00D0338B" w:rsidRDefault="00DB7EA0">
            <w:pPr>
              <w:keepNext/>
              <w:spacing w:before="53" w:after="30"/>
            </w:pPr>
            <w:r>
              <w:rPr>
                <w:rFonts w:ascii="Arial" w:eastAsia="Arial" w:hAnsi="Arial" w:cs="Arial"/>
                <w:b/>
                <w:color w:val="000000"/>
                <w:sz w:val="16"/>
              </w:rPr>
              <w:t>Total Special Items</w:t>
            </w: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A02C940" w14:textId="77777777" w:rsidR="00D0338B" w:rsidRDefault="00DB7EA0">
            <w:pPr>
              <w:keepNext/>
              <w:spacing w:before="33" w:after="30"/>
              <w:jc w:val="right"/>
            </w:pPr>
            <w:r>
              <w:rPr>
                <w:rFonts w:ascii="Arial" w:eastAsia="Arial" w:hAnsi="Arial" w:cs="Arial"/>
                <w:color w:val="000000"/>
                <w:sz w:val="16"/>
              </w:rPr>
              <w:t>(0.19)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7EF946F"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1E4DA7"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E95C5A7"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2CC642B"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2BB0EB"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52F0568"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7EF3F0C"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528826"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93DFD03" w14:textId="77777777" w:rsidR="00D0338B" w:rsidRDefault="00DB7EA0">
            <w:pPr>
              <w:keepNext/>
              <w:spacing w:before="33" w:after="30"/>
              <w:jc w:val="right"/>
            </w:pPr>
            <w:r>
              <w:rPr>
                <w:rFonts w:ascii="Arial" w:eastAsia="Arial" w:hAnsi="Arial" w:cs="Arial"/>
                <w:color w:val="000000"/>
                <w:sz w:val="16"/>
              </w:rPr>
              <w:t>(0.02)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A20227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D65EC2"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3FE0F2B" w14:textId="77777777" w:rsidR="00D0338B" w:rsidRDefault="00DB7EA0">
            <w:pPr>
              <w:keepNext/>
              <w:spacing w:before="33" w:after="30"/>
              <w:jc w:val="right"/>
            </w:pPr>
            <w:r>
              <w:rPr>
                <w:rFonts w:ascii="Arial" w:eastAsia="Arial" w:hAnsi="Arial" w:cs="Arial"/>
                <w:color w:val="000000"/>
                <w:sz w:val="16"/>
              </w:rPr>
              <w:t>(0.21)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498C488" w14:textId="77777777" w:rsidR="00D0338B" w:rsidRDefault="00D0338B">
            <w:pPr>
              <w:keepNext/>
              <w:spacing w:before="33" w:after="30"/>
              <w:jc w:val="right"/>
            </w:pPr>
          </w:p>
        </w:tc>
      </w:tr>
      <w:tr w:rsidR="00D0338B" w14:paraId="2553EFFA"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2B0B6AB" w14:textId="77777777" w:rsidR="00D0338B" w:rsidRDefault="00DB7EA0">
            <w:pPr>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05C8454"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84D6BEC" w14:textId="77777777" w:rsidR="00D0338B" w:rsidRDefault="00DB7EA0">
            <w:pPr>
              <w:spacing w:before="33" w:after="30"/>
              <w:jc w:val="right"/>
            </w:pPr>
            <w:r>
              <w:rPr>
                <w:rFonts w:ascii="Arial" w:eastAsia="Arial" w:hAnsi="Arial" w:cs="Arial"/>
                <w:color w:val="000000"/>
                <w:sz w:val="16"/>
              </w:rPr>
              <w:t>0.34 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D321BAC"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5C4E47"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E33EDDC"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938D243" w14:textId="77777777" w:rsidR="00D0338B" w:rsidRDefault="00DB7EA0">
            <w:pPr>
              <w:spacing w:before="33" w:after="30"/>
              <w:jc w:val="right"/>
            </w:pPr>
            <w:r>
              <w:rPr>
                <w:rFonts w:ascii="Arial" w:eastAsia="Arial" w:hAnsi="Arial" w:cs="Arial"/>
                <w:color w:val="000000"/>
                <w:sz w:val="16"/>
              </w:rPr>
              <w:t>0.11 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3E716CD"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6294BC"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7F0B71B"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8AD533D" w14:textId="77777777" w:rsidR="00D0338B" w:rsidRDefault="00DB7EA0">
            <w:pPr>
              <w:spacing w:before="33" w:after="30"/>
              <w:jc w:val="right"/>
            </w:pPr>
            <w:r>
              <w:rPr>
                <w:rFonts w:ascii="Arial" w:eastAsia="Arial" w:hAnsi="Arial" w:cs="Arial"/>
                <w:color w:val="000000"/>
                <w:sz w:val="16"/>
              </w:rPr>
              <w:t>0.16 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C5F0921"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EDF2C9"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787BA8C"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D0C692B" w14:textId="77777777" w:rsidR="00D0338B" w:rsidRDefault="00DB7EA0">
            <w:pPr>
              <w:spacing w:before="33" w:after="30"/>
              <w:jc w:val="right"/>
            </w:pPr>
            <w:r>
              <w:rPr>
                <w:rFonts w:ascii="Arial" w:eastAsia="Arial" w:hAnsi="Arial" w:cs="Arial"/>
                <w:color w:val="000000"/>
                <w:sz w:val="16"/>
              </w:rPr>
              <w:t>(0.02)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02B8E6F"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03FCE2"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E094BA9"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5A8590D" w14:textId="77777777" w:rsidR="00D0338B" w:rsidRDefault="00DB7EA0">
            <w:pPr>
              <w:spacing w:before="33" w:after="30"/>
              <w:jc w:val="right"/>
            </w:pPr>
            <w:r>
              <w:rPr>
                <w:rFonts w:ascii="Arial" w:eastAsia="Arial" w:hAnsi="Arial" w:cs="Arial"/>
                <w:color w:val="000000"/>
                <w:sz w:val="16"/>
              </w:rPr>
              <w:t>0.59 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66D2C94" w14:textId="77777777" w:rsidR="00D0338B" w:rsidRDefault="00D0338B">
            <w:pPr>
              <w:spacing w:before="33" w:after="30"/>
              <w:jc w:val="right"/>
            </w:pPr>
          </w:p>
        </w:tc>
      </w:tr>
    </w:tbl>
    <w:p w14:paraId="202A04DE" w14:textId="77777777" w:rsidR="00D0338B" w:rsidRDefault="00D0338B">
      <w:pPr>
        <w:spacing w:line="288" w:lineRule="auto"/>
        <w:jc w:val="center"/>
        <w:rPr>
          <w:sz w:val="20"/>
        </w:rPr>
      </w:pPr>
    </w:p>
    <w:p w14:paraId="07097139" w14:textId="77777777" w:rsidR="00D0338B" w:rsidRDefault="00DB7EA0">
      <w:pPr>
        <w:spacing w:line="288" w:lineRule="auto"/>
        <w:rPr>
          <w:rFonts w:ascii="Arial" w:eastAsia="Arial" w:hAnsi="Arial" w:cs="Arial"/>
          <w:sz w:val="16"/>
        </w:rPr>
      </w:pPr>
      <w:r>
        <w:rPr>
          <w:rFonts w:ascii="Arial" w:eastAsia="Arial" w:hAnsi="Arial" w:cs="Arial"/>
          <w:sz w:val="16"/>
        </w:rPr>
        <w:t>(1)</w:t>
      </w:r>
      <w:r>
        <w:rPr>
          <w:sz w:val="20"/>
        </w:rPr>
        <w:t xml:space="preserve"> </w:t>
      </w:r>
      <w:r>
        <w:rPr>
          <w:rFonts w:ascii="Arial" w:eastAsia="Arial" w:hAnsi="Arial" w:cs="Arial"/>
          <w:sz w:val="16"/>
        </w:rPr>
        <w:t>Reported Earnings represents Net Income.</w:t>
      </w:r>
    </w:p>
    <w:p w14:paraId="10495082" w14:textId="77777777" w:rsidR="00D0338B" w:rsidRDefault="00DB7EA0">
      <w:pPr>
        <w:spacing w:line="288" w:lineRule="auto"/>
        <w:rPr>
          <w:rFonts w:ascii="Arial" w:eastAsia="Arial" w:hAnsi="Arial" w:cs="Arial"/>
          <w:sz w:val="16"/>
        </w:rPr>
      </w:pPr>
      <w:r>
        <w:rPr>
          <w:rFonts w:ascii="Arial" w:eastAsia="Arial" w:hAnsi="Arial" w:cs="Arial"/>
          <w:sz w:val="16"/>
        </w:rPr>
        <w:t>(2) COVID-19 impact relates to incremental costs for labor not chargeable to capital projects due to U.K. government lockdown restrictions,</w:t>
      </w:r>
    </w:p>
    <w:p w14:paraId="67A23290" w14:textId="77777777" w:rsidR="00D0338B" w:rsidRDefault="00DB7EA0">
      <w:pPr>
        <w:spacing w:line="288" w:lineRule="auto"/>
        <w:rPr>
          <w:rFonts w:ascii="Arial" w:eastAsia="Arial" w:hAnsi="Arial" w:cs="Arial"/>
          <w:sz w:val="16"/>
        </w:rPr>
      </w:pPr>
      <w:r>
        <w:rPr>
          <w:rFonts w:ascii="Arial" w:eastAsia="Arial" w:hAnsi="Arial" w:cs="Arial"/>
          <w:sz w:val="16"/>
        </w:rPr>
        <w:t xml:space="preserve">      outside services, customer payment processing, purchases of personal protective equipment and other safety related actions associated </w:t>
      </w:r>
    </w:p>
    <w:p w14:paraId="547AA603" w14:textId="77777777" w:rsidR="00D0338B" w:rsidRDefault="00DB7EA0">
      <w:pPr>
        <w:spacing w:line="288" w:lineRule="auto"/>
        <w:rPr>
          <w:rFonts w:ascii="Arial" w:eastAsia="Arial" w:hAnsi="Arial" w:cs="Arial"/>
          <w:sz w:val="16"/>
        </w:rPr>
      </w:pPr>
      <w:r>
        <w:rPr>
          <w:rFonts w:ascii="Arial" w:eastAsia="Arial" w:hAnsi="Arial" w:cs="Arial"/>
          <w:sz w:val="16"/>
        </w:rPr>
        <w:t xml:space="preserve">      with the COVID-19 pandemic.</w:t>
      </w:r>
    </w:p>
    <w:p w14:paraId="003FA9EB" w14:textId="77777777" w:rsidR="00D0338B" w:rsidRDefault="00D0338B">
      <w:pPr>
        <w:spacing w:line="288" w:lineRule="auto"/>
        <w:sectPr w:rsidR="00D0338B">
          <w:pgSz w:w="12240" w:h="15840"/>
          <w:pgMar w:top="720" w:right="720" w:bottom="720" w:left="1080" w:header="270" w:footer="270" w:gutter="0"/>
          <w:cols w:space="708"/>
        </w:sect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61BBA1E0"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25665445" w14:textId="77777777" w:rsidR="00D0338B" w:rsidRDefault="00DB7EA0">
            <w:pPr>
              <w:keepNext/>
              <w:spacing w:before="53" w:after="30"/>
            </w:pPr>
            <w:r>
              <w:rPr>
                <w:rFonts w:ascii="Arial" w:eastAsia="Arial" w:hAnsi="Arial" w:cs="Arial"/>
                <w:b/>
                <w:color w:val="000000"/>
                <w:sz w:val="20"/>
              </w:rPr>
              <w:lastRenderedPageBreak/>
              <w:t>Reconciliation of Segment Reported Earnings to Earnings from Ongoing Operations</w:t>
            </w:r>
          </w:p>
        </w:tc>
      </w:tr>
      <w:tr w:rsidR="00D0338B" w14:paraId="4027B5F9"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763DE92F" w14:textId="77777777" w:rsidR="00D0338B" w:rsidRDefault="00DB7EA0">
            <w:pPr>
              <w:keepNext/>
              <w:spacing w:before="53" w:after="30"/>
            </w:pPr>
            <w:r>
              <w:rPr>
                <w:rFonts w:ascii="Arial" w:eastAsia="Arial" w:hAnsi="Arial" w:cs="Arial"/>
                <w:b/>
                <w:color w:val="000000"/>
                <w:sz w:val="20"/>
              </w:rPr>
              <w:t>(After-Tax)</w:t>
            </w:r>
          </w:p>
        </w:tc>
      </w:tr>
      <w:tr w:rsidR="00D0338B" w14:paraId="2705AF2F"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4E7CDBB6" w14:textId="77777777" w:rsidR="00D0338B" w:rsidRDefault="00DB7EA0">
            <w:pPr>
              <w:keepNext/>
              <w:spacing w:before="53" w:after="30"/>
            </w:pPr>
            <w:r>
              <w:rPr>
                <w:rFonts w:ascii="Arial" w:eastAsia="Arial" w:hAnsi="Arial" w:cs="Arial"/>
                <w:b/>
                <w:color w:val="000000"/>
                <w:sz w:val="20"/>
              </w:rPr>
              <w:t>(Unaudited)</w:t>
            </w:r>
          </w:p>
        </w:tc>
      </w:tr>
      <w:tr w:rsidR="00D0338B" w14:paraId="0F4CAFB7" w14:textId="77777777">
        <w:trPr>
          <w:cantSplit/>
          <w:trHeight w:hRule="exact" w:val="300"/>
          <w:jc w:val="center"/>
        </w:trPr>
        <w:tc>
          <w:tcPr>
            <w:tcW w:w="5235" w:type="dxa"/>
            <w:tcBorders>
              <w:top w:val="nil"/>
              <w:left w:val="nil"/>
              <w:bottom w:val="nil"/>
              <w:right w:val="nil"/>
            </w:tcBorders>
            <w:tcMar>
              <w:top w:w="0" w:type="dxa"/>
              <w:left w:w="0" w:type="dxa"/>
              <w:bottom w:w="0" w:type="dxa"/>
              <w:right w:w="0" w:type="dxa"/>
            </w:tcMar>
            <w:vAlign w:val="bottom"/>
          </w:tcPr>
          <w:p w14:paraId="201E5E4A"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481409E9"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43CCFEFE"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2A5F3DD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2D3A28B"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2C0F6EA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7142945"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0B8035E7"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50A09FBB"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3D1CA758" w14:textId="77777777" w:rsidR="00D0338B" w:rsidRDefault="00D0338B">
            <w:pPr>
              <w:keepNext/>
            </w:pPr>
          </w:p>
        </w:tc>
      </w:tr>
      <w:tr w:rsidR="00D0338B" w14:paraId="6A462DDA" w14:textId="77777777">
        <w:trPr>
          <w:cantSplit/>
          <w:trHeight w:hRule="exact" w:val="255"/>
          <w:jc w:val="center"/>
        </w:trPr>
        <w:tc>
          <w:tcPr>
            <w:tcW w:w="5235" w:type="dxa"/>
            <w:tcBorders>
              <w:top w:val="nil"/>
              <w:left w:val="nil"/>
              <w:bottom w:val="nil"/>
              <w:right w:val="nil"/>
            </w:tcBorders>
            <w:tcMar>
              <w:top w:w="0" w:type="dxa"/>
              <w:left w:w="53" w:type="dxa"/>
              <w:bottom w:w="0" w:type="dxa"/>
              <w:right w:w="53" w:type="dxa"/>
            </w:tcMar>
            <w:vAlign w:val="bottom"/>
          </w:tcPr>
          <w:p w14:paraId="0BFDC3AB" w14:textId="77777777" w:rsidR="00D0338B" w:rsidRDefault="00DB7EA0">
            <w:pPr>
              <w:keepNext/>
              <w:spacing w:before="53" w:after="30"/>
            </w:pPr>
            <w:r>
              <w:rPr>
                <w:rFonts w:ascii="Arial" w:eastAsia="Arial" w:hAnsi="Arial" w:cs="Arial"/>
                <w:color w:val="000000"/>
                <w:sz w:val="16"/>
              </w:rPr>
              <w:t>Year-to-Date December 31, 2020</w:t>
            </w: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214835D7" w14:textId="77777777" w:rsidR="00D0338B" w:rsidRDefault="00DB7EA0">
            <w:pPr>
              <w:keepNext/>
              <w:spacing w:before="53" w:after="30"/>
              <w:jc w:val="center"/>
            </w:pPr>
            <w:r>
              <w:rPr>
                <w:rFonts w:ascii="Arial" w:eastAsia="Arial" w:hAnsi="Arial" w:cs="Arial"/>
                <w:color w:val="000000"/>
                <w:sz w:val="16"/>
              </w:rPr>
              <w:t>(millions of dollars)</w:t>
            </w:r>
          </w:p>
        </w:tc>
      </w:tr>
      <w:tr w:rsidR="00D0338B" w14:paraId="3675AA48"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2159FF9B"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14AF9702"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F40D5F5"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655CF49D"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A21185B"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22B0356D"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CFE4C52"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22C2C8B2"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59A2583"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259DEC0E" w14:textId="77777777" w:rsidR="00D0338B" w:rsidRDefault="00D0338B">
            <w:pPr>
              <w:keepNext/>
            </w:pPr>
          </w:p>
        </w:tc>
      </w:tr>
      <w:tr w:rsidR="00D0338B" w14:paraId="50AAB102"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5B1253C9"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92538BC"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53FE61A8"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0F5504F"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3E16BE37"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098C23D1"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046C89D"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168B1803"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7124F0EC"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313B72AA"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34E1277E"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3F557DFB" w14:textId="77777777" w:rsidR="00D0338B" w:rsidRDefault="00DB7EA0">
            <w:pPr>
              <w:keepNext/>
              <w:spacing w:before="53" w:after="3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DCEE15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4A8D587" w14:textId="77777777" w:rsidR="00D0338B" w:rsidRDefault="00DB7EA0">
            <w:pPr>
              <w:keepNext/>
              <w:spacing w:before="33" w:after="30"/>
              <w:jc w:val="right"/>
            </w:pPr>
            <w:r>
              <w:rPr>
                <w:rFonts w:ascii="Arial" w:eastAsia="Arial" w:hAnsi="Arial" w:cs="Arial"/>
                <w:color w:val="000000"/>
                <w:sz w:val="16"/>
              </w:rPr>
              <w:t>686 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14519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8BEF5F"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D6AC23C"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3AA76E0" w14:textId="77777777" w:rsidR="00D0338B" w:rsidRDefault="00DB7EA0">
            <w:pPr>
              <w:keepNext/>
              <w:spacing w:before="33" w:after="30"/>
              <w:jc w:val="right"/>
            </w:pPr>
            <w:r>
              <w:rPr>
                <w:rFonts w:ascii="Arial" w:eastAsia="Arial" w:hAnsi="Arial" w:cs="Arial"/>
                <w:color w:val="000000"/>
                <w:sz w:val="16"/>
              </w:rPr>
              <w:t>418 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D9F4B9D"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249083"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CC8E08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15BA82B" w14:textId="77777777" w:rsidR="00D0338B" w:rsidRDefault="00DB7EA0">
            <w:pPr>
              <w:keepNext/>
              <w:spacing w:before="33" w:after="30"/>
              <w:jc w:val="right"/>
            </w:pPr>
            <w:r>
              <w:rPr>
                <w:rFonts w:ascii="Arial" w:eastAsia="Arial" w:hAnsi="Arial" w:cs="Arial"/>
                <w:color w:val="000000"/>
                <w:sz w:val="16"/>
              </w:rPr>
              <w:t>497 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44F216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C17DEE"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C08EF0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DC801A5" w14:textId="77777777" w:rsidR="00D0338B" w:rsidRDefault="00DB7EA0">
            <w:pPr>
              <w:keepNext/>
              <w:spacing w:before="33" w:after="30"/>
              <w:jc w:val="right"/>
            </w:pPr>
            <w:r>
              <w:rPr>
                <w:rFonts w:ascii="Arial" w:eastAsia="Arial" w:hAnsi="Arial" w:cs="Arial"/>
                <w:color w:val="000000"/>
                <w:sz w:val="16"/>
              </w:rPr>
              <w:t>(132)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CF3DFB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D997D1"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0A1F2D6"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FEDC146" w14:textId="77777777" w:rsidR="00D0338B" w:rsidRDefault="00DB7EA0">
            <w:pPr>
              <w:keepNext/>
              <w:spacing w:before="33" w:after="30"/>
              <w:jc w:val="right"/>
            </w:pPr>
            <w:r>
              <w:rPr>
                <w:rFonts w:ascii="Arial" w:eastAsia="Arial" w:hAnsi="Arial" w:cs="Arial"/>
                <w:color w:val="000000"/>
                <w:sz w:val="16"/>
              </w:rPr>
              <w:t>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F1C89D8" w14:textId="77777777" w:rsidR="00D0338B" w:rsidRDefault="00D0338B">
            <w:pPr>
              <w:keepNext/>
              <w:spacing w:before="33" w:after="30"/>
              <w:jc w:val="right"/>
            </w:pPr>
          </w:p>
        </w:tc>
      </w:tr>
      <w:tr w:rsidR="00D0338B" w14:paraId="057513D3"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CB4E8B6"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03506317"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F61C15"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5A02A59"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856536"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4888A07"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241E56"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45ACA362"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04ADC9"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4D8BC0ED" w14:textId="77777777" w:rsidR="00D0338B" w:rsidRDefault="00D0338B">
            <w:pPr>
              <w:keepNext/>
            </w:pPr>
          </w:p>
        </w:tc>
      </w:tr>
      <w:tr w:rsidR="00D0338B" w14:paraId="6E9C7102"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7864351" w14:textId="77777777" w:rsidR="00D0338B" w:rsidRDefault="00DB7EA0">
            <w:pPr>
              <w:keepNext/>
              <w:spacing w:before="53" w:after="30"/>
            </w:pPr>
            <w:r>
              <w:rPr>
                <w:rFonts w:ascii="Arial" w:eastAsia="Arial" w:hAnsi="Arial" w:cs="Arial"/>
                <w:color w:val="000000"/>
                <w:sz w:val="16"/>
              </w:rPr>
              <w:t>Foreign currency economic hedges, net of tax of $57</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4D16712" w14:textId="77777777" w:rsidR="00D0338B" w:rsidRDefault="00DB7EA0">
            <w:pPr>
              <w:keepNext/>
              <w:spacing w:before="53" w:after="30"/>
              <w:jc w:val="right"/>
            </w:pPr>
            <w:r>
              <w:rPr>
                <w:rFonts w:ascii="Arial" w:eastAsia="Arial" w:hAnsi="Arial" w:cs="Arial"/>
                <w:color w:val="000000"/>
                <w:sz w:val="16"/>
              </w:rPr>
              <w:t>(216)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6C0611"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317CA3"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4875779"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733AA47"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184028"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1621A9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A4024D"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F93B30"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2D60539D"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3748A32"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E68A0B"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F4A6E5D" w14:textId="77777777" w:rsidR="00D0338B" w:rsidRDefault="00DB7EA0">
            <w:pPr>
              <w:keepNext/>
              <w:spacing w:before="53" w:after="30"/>
              <w:jc w:val="right"/>
            </w:pPr>
            <w:r>
              <w:rPr>
                <w:rFonts w:ascii="Arial" w:eastAsia="Arial" w:hAnsi="Arial" w:cs="Arial"/>
                <w:color w:val="000000"/>
                <w:sz w:val="16"/>
              </w:rPr>
              <w:t>(216)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5789943" w14:textId="77777777" w:rsidR="00D0338B" w:rsidRDefault="00D0338B">
            <w:pPr>
              <w:keepNext/>
              <w:spacing w:before="53" w:after="30"/>
              <w:jc w:val="right"/>
            </w:pPr>
          </w:p>
        </w:tc>
      </w:tr>
      <w:tr w:rsidR="00D0338B" w14:paraId="0C9249CC"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02A8597C" w14:textId="77777777" w:rsidR="00D0338B" w:rsidRDefault="00DB7EA0">
            <w:pPr>
              <w:keepNext/>
              <w:spacing w:before="53" w:after="30"/>
            </w:pPr>
            <w:r>
              <w:rPr>
                <w:rFonts w:ascii="Arial" w:eastAsia="Arial" w:hAnsi="Arial" w:cs="Arial"/>
                <w:color w:val="000000"/>
                <w:sz w:val="16"/>
              </w:rPr>
              <w:t>Talen litigation costs, net of tax of $3</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F7D91FD"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F564345"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5F8CEE"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BAE3849"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B240B5"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6920B7"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4618F8D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0EA9AB"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8FD7FF"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15E0111" w14:textId="77777777" w:rsidR="00D0338B" w:rsidRDefault="00DB7EA0">
            <w:pPr>
              <w:keepNext/>
              <w:spacing w:before="53" w:after="30"/>
              <w:jc w:val="right"/>
            </w:pPr>
            <w:r>
              <w:rPr>
                <w:rFonts w:ascii="Arial" w:eastAsia="Arial" w:hAnsi="Arial" w:cs="Arial"/>
                <w:color w:val="000000"/>
                <w:sz w:val="16"/>
              </w:rPr>
              <w:t>(13)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5BC230"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35A38C"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1D0124C" w14:textId="77777777" w:rsidR="00D0338B" w:rsidRDefault="00DB7EA0">
            <w:pPr>
              <w:keepNext/>
              <w:spacing w:before="53" w:after="30"/>
              <w:jc w:val="right"/>
            </w:pPr>
            <w:r>
              <w:rPr>
                <w:rFonts w:ascii="Arial" w:eastAsia="Arial" w:hAnsi="Arial" w:cs="Arial"/>
                <w:color w:val="000000"/>
                <w:sz w:val="16"/>
              </w:rPr>
              <w:t>(13)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5A9851" w14:textId="77777777" w:rsidR="00D0338B" w:rsidRDefault="00D0338B">
            <w:pPr>
              <w:keepNext/>
              <w:spacing w:before="53" w:after="30"/>
              <w:jc w:val="right"/>
            </w:pPr>
          </w:p>
        </w:tc>
      </w:tr>
      <w:tr w:rsidR="00D0338B" w14:paraId="24764E99"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6325E003" w14:textId="77777777" w:rsidR="00D0338B" w:rsidRDefault="00DB7EA0">
            <w:pPr>
              <w:keepNext/>
              <w:spacing w:before="53" w:after="30"/>
              <w:outlineLvl w:val="0"/>
              <w:rPr>
                <w:rFonts w:ascii="Arial" w:eastAsia="Arial" w:hAnsi="Arial" w:cs="Arial"/>
                <w:sz w:val="16"/>
              </w:rPr>
            </w:pPr>
            <w:r>
              <w:rPr>
                <w:rFonts w:ascii="Arial" w:eastAsia="Arial" w:hAnsi="Arial" w:cs="Arial"/>
                <w:sz w:val="16"/>
              </w:rPr>
              <w:t xml:space="preserve">COVID-19 impact, net of tax of $4, $2, $0, $0 </w:t>
            </w:r>
            <w:r>
              <w:rPr>
                <w:rFonts w:ascii="Arial" w:eastAsia="Arial" w:hAnsi="Arial" w:cs="Arial"/>
                <w:sz w:val="16"/>
                <w:vertAlign w:val="superscript"/>
              </w:rPr>
              <w:t>(2)</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F0FC92D" w14:textId="77777777" w:rsidR="00D0338B" w:rsidRDefault="00DB7EA0">
            <w:pPr>
              <w:keepNext/>
              <w:spacing w:before="53" w:after="30"/>
              <w:jc w:val="right"/>
            </w:pPr>
            <w:r>
              <w:rPr>
                <w:rFonts w:ascii="Arial" w:eastAsia="Arial" w:hAnsi="Arial" w:cs="Arial"/>
                <w:color w:val="000000"/>
                <w:sz w:val="16"/>
              </w:rPr>
              <w:t>(15)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BA5A760"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12FA85"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C21A8B1" w14:textId="77777777" w:rsidR="00D0338B" w:rsidRDefault="00DB7EA0">
            <w:pPr>
              <w:keepNext/>
              <w:spacing w:before="53" w:after="30"/>
              <w:jc w:val="right"/>
            </w:pPr>
            <w:r>
              <w:rPr>
                <w:rFonts w:ascii="Arial" w:eastAsia="Arial" w:hAnsi="Arial" w:cs="Arial"/>
                <w:color w:val="000000"/>
                <w:sz w:val="16"/>
              </w:rPr>
              <w:t>(5)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516931"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3D3CF0"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057AF9C" w14:textId="77777777" w:rsidR="00D0338B" w:rsidRDefault="00DB7EA0">
            <w:pPr>
              <w:keepNext/>
              <w:spacing w:before="53" w:after="30"/>
              <w:jc w:val="right"/>
            </w:pPr>
            <w:r>
              <w:rPr>
                <w:rFonts w:ascii="Arial" w:eastAsia="Arial" w:hAnsi="Arial" w:cs="Arial"/>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EF8C723"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FC9742"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D437718" w14:textId="77777777" w:rsidR="00D0338B" w:rsidRDefault="00DB7EA0">
            <w:pPr>
              <w:keepNext/>
              <w:spacing w:before="53" w:after="30"/>
              <w:jc w:val="right"/>
            </w:pPr>
            <w:r>
              <w:rPr>
                <w:rFonts w:ascii="Arial" w:eastAsia="Arial" w:hAnsi="Arial" w:cs="Arial"/>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3CD5CC"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E2B32C"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C008471" w14:textId="77777777" w:rsidR="00D0338B" w:rsidRDefault="00DB7EA0">
            <w:pPr>
              <w:keepNext/>
              <w:spacing w:before="53" w:after="30"/>
              <w:jc w:val="right"/>
            </w:pPr>
            <w:r>
              <w:rPr>
                <w:rFonts w:ascii="Arial" w:eastAsia="Arial" w:hAnsi="Arial" w:cs="Arial"/>
                <w:color w:val="000000"/>
                <w:sz w:val="16"/>
              </w:rPr>
              <w:t>(22)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AE59448" w14:textId="77777777" w:rsidR="00D0338B" w:rsidRDefault="00D0338B">
            <w:pPr>
              <w:keepNext/>
              <w:spacing w:before="53" w:after="30"/>
              <w:jc w:val="right"/>
            </w:pPr>
          </w:p>
        </w:tc>
      </w:tr>
      <w:tr w:rsidR="00D0338B" w14:paraId="576C9B63"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69B1FF26" w14:textId="77777777" w:rsidR="00D0338B" w:rsidRDefault="00DB7EA0">
            <w:pPr>
              <w:keepNext/>
              <w:spacing w:before="53" w:after="30"/>
            </w:pPr>
            <w:r>
              <w:rPr>
                <w:rFonts w:ascii="Arial" w:eastAsia="Arial" w:hAnsi="Arial" w:cs="Arial"/>
                <w:color w:val="000000"/>
                <w:sz w:val="16"/>
              </w:rPr>
              <w:t>U.K. tax rate change</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C963E27" w14:textId="77777777" w:rsidR="00D0338B" w:rsidRDefault="00DB7EA0">
            <w:pPr>
              <w:keepNext/>
              <w:spacing w:before="53" w:after="30"/>
              <w:jc w:val="right"/>
            </w:pPr>
            <w:r>
              <w:rPr>
                <w:rFonts w:ascii="Arial" w:eastAsia="Arial" w:hAnsi="Arial" w:cs="Arial"/>
                <w:color w:val="000000"/>
                <w:sz w:val="16"/>
              </w:rPr>
              <w:t>(102)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ADB46D7"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399CDE"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243C6A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D2955AE"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C8B998"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084DDB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3A01EE"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68E280"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2C61693"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5CE994"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79CD59"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AC7AF76" w14:textId="77777777" w:rsidR="00D0338B" w:rsidRDefault="00DB7EA0">
            <w:pPr>
              <w:keepNext/>
              <w:spacing w:before="53" w:after="30"/>
              <w:jc w:val="right"/>
            </w:pPr>
            <w:r>
              <w:rPr>
                <w:rFonts w:ascii="Arial" w:eastAsia="Arial" w:hAnsi="Arial" w:cs="Arial"/>
                <w:color w:val="000000"/>
                <w:sz w:val="16"/>
              </w:rPr>
              <w:t>(102)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9A343CC" w14:textId="77777777" w:rsidR="00D0338B" w:rsidRDefault="00D0338B">
            <w:pPr>
              <w:keepNext/>
              <w:spacing w:before="53" w:after="30"/>
              <w:jc w:val="right"/>
            </w:pPr>
          </w:p>
        </w:tc>
      </w:tr>
      <w:tr w:rsidR="00D0338B" w14:paraId="498FE8CE"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C91FA3B" w14:textId="77777777" w:rsidR="00D0338B" w:rsidRDefault="00DB7EA0">
            <w:pPr>
              <w:keepNext/>
              <w:spacing w:before="53" w:after="30"/>
            </w:pPr>
            <w:r>
              <w:rPr>
                <w:rFonts w:ascii="Arial" w:eastAsia="Arial" w:hAnsi="Arial" w:cs="Arial"/>
                <w:color w:val="000000"/>
                <w:sz w:val="16"/>
              </w:rPr>
              <w:t>Strategic corporate initiatives, net of tax of $0, $0, $0, $3</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7399E67" w14:textId="77777777" w:rsidR="00D0338B" w:rsidRDefault="00DB7EA0">
            <w:pPr>
              <w:keepNext/>
              <w:spacing w:before="53" w:after="30"/>
              <w:jc w:val="right"/>
            </w:pPr>
            <w:r>
              <w:rPr>
                <w:rFonts w:ascii="Arial" w:eastAsia="Arial" w:hAnsi="Arial" w:cs="Arial"/>
                <w:color w:val="000000"/>
                <w:sz w:val="16"/>
              </w:rPr>
              <w:t>(8)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87E775C"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B5E920"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BBD4F42"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9680A1"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D15876"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A3B74A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F6A640"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54A39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414B67D" w14:textId="77777777" w:rsidR="00D0338B" w:rsidRDefault="00DB7EA0">
            <w:pPr>
              <w:keepNext/>
              <w:spacing w:before="53" w:after="30"/>
              <w:jc w:val="right"/>
            </w:pPr>
            <w:r>
              <w:rPr>
                <w:rFonts w:ascii="Arial" w:eastAsia="Arial" w:hAnsi="Arial" w:cs="Arial"/>
                <w:color w:val="000000"/>
                <w:sz w:val="16"/>
              </w:rPr>
              <w:t>(11)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9A9C310"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ACF4A2"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631D10E" w14:textId="77777777" w:rsidR="00D0338B" w:rsidRDefault="00DB7EA0">
            <w:pPr>
              <w:keepNext/>
              <w:spacing w:before="53" w:after="30"/>
              <w:jc w:val="right"/>
            </w:pPr>
            <w:r>
              <w:rPr>
                <w:rFonts w:ascii="Arial" w:eastAsia="Arial" w:hAnsi="Arial" w:cs="Arial"/>
                <w:color w:val="000000"/>
                <w:sz w:val="16"/>
              </w:rPr>
              <w:t>(19)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2DD6A3" w14:textId="77777777" w:rsidR="00D0338B" w:rsidRDefault="00D0338B">
            <w:pPr>
              <w:keepNext/>
              <w:spacing w:before="53" w:after="30"/>
              <w:jc w:val="right"/>
            </w:pPr>
          </w:p>
        </w:tc>
      </w:tr>
      <w:tr w:rsidR="00D0338B" w14:paraId="16093606" w14:textId="77777777">
        <w:trPr>
          <w:cantSplit/>
          <w:trHeight w:hRule="exact" w:val="28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0E30C84" w14:textId="77777777" w:rsidR="00D0338B" w:rsidRDefault="00DB7EA0">
            <w:pPr>
              <w:keepNext/>
              <w:spacing w:before="53" w:after="30"/>
            </w:pPr>
            <w:r>
              <w:rPr>
                <w:rFonts w:ascii="Arial" w:eastAsia="Arial" w:hAnsi="Arial" w:cs="Arial"/>
                <w:color w:val="000000"/>
                <w:sz w:val="16"/>
              </w:rPr>
              <w:t>Executive retirement benefits, net of tax of $2</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163EA17"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18286E"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D3E70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A52633D"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B5EC61"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3A418C"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48F15873"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DAFD48"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33944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6CBB7C4" w14:textId="77777777" w:rsidR="00D0338B" w:rsidRDefault="00DB7EA0">
            <w:pPr>
              <w:keepNext/>
              <w:spacing w:before="53" w:after="30"/>
              <w:jc w:val="right"/>
            </w:pPr>
            <w:r>
              <w:rPr>
                <w:rFonts w:ascii="Arial" w:eastAsia="Arial" w:hAnsi="Arial" w:cs="Arial"/>
                <w:color w:val="000000"/>
                <w:sz w:val="16"/>
              </w:rPr>
              <w:t>(6)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055A37B"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6D9840"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7769EC0" w14:textId="77777777" w:rsidR="00D0338B" w:rsidRDefault="00DB7EA0">
            <w:pPr>
              <w:keepNext/>
              <w:spacing w:before="53" w:after="30"/>
              <w:jc w:val="right"/>
            </w:pPr>
            <w:r>
              <w:rPr>
                <w:rFonts w:ascii="Arial" w:eastAsia="Arial" w:hAnsi="Arial" w:cs="Arial"/>
                <w:color w:val="000000"/>
                <w:sz w:val="16"/>
              </w:rPr>
              <w:t>(6)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CB4FAE1" w14:textId="77777777" w:rsidR="00D0338B" w:rsidRDefault="00D0338B">
            <w:pPr>
              <w:keepNext/>
              <w:spacing w:before="53" w:after="30"/>
              <w:jc w:val="right"/>
            </w:pPr>
          </w:p>
        </w:tc>
      </w:tr>
      <w:tr w:rsidR="00D0338B" w14:paraId="3EA6AE52"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A6A4510" w14:textId="77777777" w:rsidR="00D0338B" w:rsidRDefault="00DB7EA0">
            <w:pPr>
              <w:keepNext/>
              <w:spacing w:before="53" w:after="30"/>
            </w:pPr>
            <w:r>
              <w:rPr>
                <w:rFonts w:ascii="Arial" w:eastAsia="Arial" w:hAnsi="Arial" w:cs="Arial"/>
                <w:b/>
                <w:color w:val="000000"/>
                <w:sz w:val="16"/>
              </w:rPr>
              <w:t>Total Special Items</w:t>
            </w: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9E8828D" w14:textId="77777777" w:rsidR="00D0338B" w:rsidRDefault="00DB7EA0">
            <w:pPr>
              <w:keepNext/>
              <w:spacing w:before="33" w:after="30"/>
              <w:jc w:val="right"/>
            </w:pPr>
            <w:r>
              <w:rPr>
                <w:rFonts w:ascii="Arial" w:eastAsia="Arial" w:hAnsi="Arial" w:cs="Arial"/>
                <w:color w:val="000000"/>
                <w:sz w:val="16"/>
              </w:rPr>
              <w:t>(341)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E5524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92860C"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72D57CB" w14:textId="77777777" w:rsidR="00D0338B" w:rsidRDefault="00DB7EA0">
            <w:pPr>
              <w:keepNext/>
              <w:spacing w:before="33" w:after="30"/>
              <w:jc w:val="right"/>
            </w:pPr>
            <w:r>
              <w:rPr>
                <w:rFonts w:ascii="Arial" w:eastAsia="Arial" w:hAnsi="Arial" w:cs="Arial"/>
                <w:color w:val="000000"/>
                <w:sz w:val="16"/>
              </w:rPr>
              <w:t>(5)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18DF3F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D62AAB"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C2FC255" w14:textId="77777777" w:rsidR="00D0338B" w:rsidRDefault="00DB7EA0">
            <w:pPr>
              <w:keepNext/>
              <w:spacing w:before="33" w:after="30"/>
              <w:jc w:val="right"/>
            </w:pPr>
            <w:r>
              <w:rPr>
                <w:rFonts w:ascii="Arial" w:eastAsia="Arial" w:hAnsi="Arial" w:cs="Arial"/>
                <w:color w:val="000000"/>
                <w:sz w:val="16"/>
              </w:rPr>
              <w:t>(1)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F3EF30C"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FEE7BA"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A0CB8A5" w14:textId="77777777" w:rsidR="00D0338B" w:rsidRDefault="00DB7EA0">
            <w:pPr>
              <w:keepNext/>
              <w:spacing w:before="33" w:after="30"/>
              <w:jc w:val="right"/>
            </w:pPr>
            <w:r>
              <w:rPr>
                <w:rFonts w:ascii="Arial" w:eastAsia="Arial" w:hAnsi="Arial" w:cs="Arial"/>
                <w:color w:val="000000"/>
                <w:sz w:val="16"/>
              </w:rPr>
              <w:t>(31)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5143EFA"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C0B6AB"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02C7A4A" w14:textId="77777777" w:rsidR="00D0338B" w:rsidRDefault="00DB7EA0">
            <w:pPr>
              <w:keepNext/>
              <w:spacing w:before="33" w:after="30"/>
              <w:jc w:val="right"/>
            </w:pPr>
            <w:r>
              <w:rPr>
                <w:rFonts w:ascii="Arial" w:eastAsia="Arial" w:hAnsi="Arial" w:cs="Arial"/>
                <w:color w:val="000000"/>
                <w:sz w:val="16"/>
              </w:rPr>
              <w:t>(378)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55C3D42" w14:textId="77777777" w:rsidR="00D0338B" w:rsidRDefault="00D0338B">
            <w:pPr>
              <w:keepNext/>
              <w:spacing w:before="33" w:after="30"/>
              <w:jc w:val="right"/>
            </w:pPr>
          </w:p>
        </w:tc>
      </w:tr>
      <w:tr w:rsidR="00D0338B" w14:paraId="01ED8E7F"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1B7A531D" w14:textId="77777777" w:rsidR="00D0338B" w:rsidRDefault="00DB7EA0">
            <w:pPr>
              <w:keepNext/>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ED33269"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741CCCC" w14:textId="77777777" w:rsidR="00D0338B" w:rsidRDefault="00DB7EA0">
            <w:pPr>
              <w:keepNext/>
              <w:spacing w:before="33" w:after="30"/>
              <w:jc w:val="right"/>
            </w:pPr>
            <w:r>
              <w:rPr>
                <w:rFonts w:ascii="Arial" w:eastAsia="Arial" w:hAnsi="Arial" w:cs="Arial"/>
                <w:color w:val="000000"/>
                <w:sz w:val="16"/>
              </w:rPr>
              <w:t>1,027 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25A821B"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3E110A"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9206E32"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C304B88" w14:textId="77777777" w:rsidR="00D0338B" w:rsidRDefault="00DB7EA0">
            <w:pPr>
              <w:keepNext/>
              <w:spacing w:before="33" w:after="30"/>
              <w:jc w:val="right"/>
            </w:pPr>
            <w:r>
              <w:rPr>
                <w:rFonts w:ascii="Arial" w:eastAsia="Arial" w:hAnsi="Arial" w:cs="Arial"/>
                <w:color w:val="000000"/>
                <w:sz w:val="16"/>
              </w:rPr>
              <w:t>423 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3CE724D"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03E244"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A0C32ED"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10AA156" w14:textId="77777777" w:rsidR="00D0338B" w:rsidRDefault="00DB7EA0">
            <w:pPr>
              <w:keepNext/>
              <w:spacing w:before="33" w:after="30"/>
              <w:jc w:val="right"/>
            </w:pPr>
            <w:r>
              <w:rPr>
                <w:rFonts w:ascii="Arial" w:eastAsia="Arial" w:hAnsi="Arial" w:cs="Arial"/>
                <w:color w:val="000000"/>
                <w:sz w:val="16"/>
              </w:rPr>
              <w:t>498 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FDC482B"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C970FD"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B006BCE"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A34AC22" w14:textId="77777777" w:rsidR="00D0338B" w:rsidRDefault="00DB7EA0">
            <w:pPr>
              <w:keepNext/>
              <w:spacing w:before="33" w:after="30"/>
              <w:jc w:val="right"/>
            </w:pPr>
            <w:r>
              <w:rPr>
                <w:rFonts w:ascii="Arial" w:eastAsia="Arial" w:hAnsi="Arial" w:cs="Arial"/>
                <w:color w:val="000000"/>
                <w:sz w:val="16"/>
              </w:rPr>
              <w:t>(101)</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1BC5637"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4448DC"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3ABE156"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3F069AC" w14:textId="77777777" w:rsidR="00D0338B" w:rsidRDefault="00DB7EA0">
            <w:pPr>
              <w:keepNext/>
              <w:spacing w:before="33" w:after="30"/>
              <w:jc w:val="right"/>
            </w:pPr>
            <w:r>
              <w:rPr>
                <w:rFonts w:ascii="Arial" w:eastAsia="Arial" w:hAnsi="Arial" w:cs="Arial"/>
                <w:color w:val="000000"/>
                <w:sz w:val="16"/>
              </w:rPr>
              <w:t>1,847 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912D121" w14:textId="77777777" w:rsidR="00D0338B" w:rsidRDefault="00D0338B">
            <w:pPr>
              <w:keepNext/>
              <w:spacing w:before="33" w:after="30"/>
              <w:jc w:val="right"/>
            </w:pPr>
          </w:p>
        </w:tc>
      </w:tr>
      <w:tr w:rsidR="00D0338B" w14:paraId="4DCEE1BE"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118057C2"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03B37B1C"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17868C2F"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1FBCA498"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23031391"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48126BEE"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05C36387"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33CDF242"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7ED39B00"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16EE44B7" w14:textId="77777777" w:rsidR="00D0338B" w:rsidRDefault="00D0338B"/>
        </w:tc>
      </w:tr>
    </w:tbl>
    <w:p w14:paraId="14B717E2" w14:textId="77777777" w:rsidR="00D0338B" w:rsidRDefault="00D0338B">
      <w:pPr>
        <w:spacing w:after="100"/>
        <w:rPr>
          <w:sz w:val="10"/>
        </w:rPr>
      </w:pPr>
      <w:bookmarkStart w:id="7" w:name="Section8"/>
      <w:bookmarkEnd w:id="7"/>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1231B89E"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4F1BF51E" w14:textId="77777777" w:rsidR="00D0338B" w:rsidRDefault="00D0338B">
            <w:pPr>
              <w:keepNext/>
            </w:pP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7E976CB1" w14:textId="77777777" w:rsidR="00D0338B" w:rsidRDefault="00DB7EA0">
            <w:pPr>
              <w:keepNext/>
              <w:spacing w:before="53" w:after="30"/>
              <w:jc w:val="center"/>
            </w:pPr>
            <w:r>
              <w:rPr>
                <w:rFonts w:ascii="Arial" w:eastAsia="Arial" w:hAnsi="Arial" w:cs="Arial"/>
                <w:color w:val="000000"/>
                <w:sz w:val="16"/>
              </w:rPr>
              <w:t>(per share - diluted)</w:t>
            </w:r>
          </w:p>
        </w:tc>
      </w:tr>
      <w:tr w:rsidR="00D0338B" w14:paraId="1E99DE20"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188431AF"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2272C777"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85ADF3F"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41334483"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6D81A26"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0B70055D"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38A874A"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54751F29"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C395CB6"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2FA66C6A" w14:textId="77777777" w:rsidR="00D0338B" w:rsidRDefault="00D0338B">
            <w:pPr>
              <w:keepNext/>
            </w:pPr>
          </w:p>
        </w:tc>
      </w:tr>
      <w:tr w:rsidR="00D0338B" w14:paraId="6D32B693"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0FEB2D45"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4C347A05"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1439F660"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0EAD6B36"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2DF6C225"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E82E2E0"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2E46989F"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559DF4E"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43D8A17B"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8B7C5F8"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2038BCE0"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4D930C6E" w14:textId="77777777" w:rsidR="00D0338B" w:rsidRDefault="00DB7EA0">
            <w:pPr>
              <w:keepNext/>
              <w:spacing w:before="53" w:after="3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D50A883"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5D672E" w14:textId="77777777" w:rsidR="00D0338B" w:rsidRDefault="00DB7EA0">
            <w:pPr>
              <w:keepNext/>
              <w:spacing w:before="33" w:after="30"/>
              <w:jc w:val="right"/>
            </w:pPr>
            <w:r>
              <w:rPr>
                <w:rFonts w:ascii="Arial" w:eastAsia="Arial" w:hAnsi="Arial" w:cs="Arial"/>
                <w:color w:val="000000"/>
                <w:sz w:val="16"/>
              </w:rPr>
              <w:t>0.89 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4C3564"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A90377"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8F6A04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870B365" w14:textId="77777777" w:rsidR="00D0338B" w:rsidRDefault="00DB7EA0">
            <w:pPr>
              <w:keepNext/>
              <w:spacing w:before="33" w:after="30"/>
              <w:jc w:val="right"/>
            </w:pPr>
            <w:r>
              <w:rPr>
                <w:rFonts w:ascii="Arial" w:eastAsia="Arial" w:hAnsi="Arial" w:cs="Arial"/>
                <w:color w:val="000000"/>
                <w:sz w:val="16"/>
              </w:rPr>
              <w:t>0.54 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69EF91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C7BC0F"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8863BDB"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0B30113" w14:textId="77777777" w:rsidR="00D0338B" w:rsidRDefault="00DB7EA0">
            <w:pPr>
              <w:keepNext/>
              <w:spacing w:before="33" w:after="30"/>
              <w:jc w:val="right"/>
            </w:pPr>
            <w:r>
              <w:rPr>
                <w:rFonts w:ascii="Arial" w:eastAsia="Arial" w:hAnsi="Arial" w:cs="Arial"/>
                <w:color w:val="000000"/>
                <w:sz w:val="16"/>
              </w:rPr>
              <w:t>0.65 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E3CF871"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13C5EA"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59C8B0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18F8B40" w14:textId="77777777" w:rsidR="00D0338B" w:rsidRDefault="00DB7EA0">
            <w:pPr>
              <w:keepNext/>
              <w:spacing w:before="33" w:after="30"/>
              <w:jc w:val="right"/>
            </w:pPr>
            <w:r>
              <w:rPr>
                <w:rFonts w:ascii="Arial" w:eastAsia="Arial" w:hAnsi="Arial" w:cs="Arial"/>
                <w:color w:val="000000"/>
                <w:sz w:val="16"/>
              </w:rPr>
              <w:t>(0.17)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ADDF70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5BC800"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C1481D7"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9C5E6C6" w14:textId="77777777" w:rsidR="00D0338B" w:rsidRDefault="00DB7EA0">
            <w:pPr>
              <w:keepNext/>
              <w:spacing w:before="33" w:after="30"/>
              <w:jc w:val="right"/>
            </w:pPr>
            <w:r>
              <w:rPr>
                <w:rFonts w:ascii="Arial" w:eastAsia="Arial" w:hAnsi="Arial" w:cs="Arial"/>
                <w:color w:val="000000"/>
                <w:sz w:val="16"/>
              </w:rPr>
              <w:t>1.91 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83339AF" w14:textId="77777777" w:rsidR="00D0338B" w:rsidRDefault="00D0338B">
            <w:pPr>
              <w:keepNext/>
              <w:spacing w:before="33" w:after="30"/>
              <w:jc w:val="right"/>
            </w:pPr>
          </w:p>
        </w:tc>
      </w:tr>
      <w:tr w:rsidR="00D0338B" w14:paraId="2AEB2B68"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BB2B019"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511A76F0"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51B671"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CD10468"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A3179E"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00CE02C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4C97C7"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67679C30"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DFBC3A"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E44A7ED" w14:textId="77777777" w:rsidR="00D0338B" w:rsidRDefault="00D0338B">
            <w:pPr>
              <w:keepNext/>
            </w:pPr>
          </w:p>
        </w:tc>
      </w:tr>
      <w:tr w:rsidR="00D0338B" w14:paraId="4A6F8322"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1AECF572" w14:textId="77777777" w:rsidR="00D0338B" w:rsidRDefault="00DB7EA0">
            <w:pPr>
              <w:keepNext/>
              <w:spacing w:before="53" w:after="30"/>
            </w:pPr>
            <w:r>
              <w:rPr>
                <w:rFonts w:ascii="Arial" w:eastAsia="Arial" w:hAnsi="Arial" w:cs="Arial"/>
                <w:color w:val="000000"/>
                <w:sz w:val="16"/>
              </w:rPr>
              <w:t>Foreign currency economic hedges</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F90E6E4" w14:textId="77777777" w:rsidR="00D0338B" w:rsidRDefault="00DB7EA0">
            <w:pPr>
              <w:keepNext/>
              <w:spacing w:before="53" w:after="30"/>
              <w:jc w:val="right"/>
            </w:pPr>
            <w:r>
              <w:rPr>
                <w:rFonts w:ascii="Arial" w:eastAsia="Arial" w:hAnsi="Arial" w:cs="Arial"/>
                <w:color w:val="000000"/>
                <w:sz w:val="16"/>
              </w:rPr>
              <w:t>(0.27)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4F66F73"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1E7894"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5048B8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6971A4"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3971E1"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8D27B48"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D0825A"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2580A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50C544DC"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EF7C9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8CC24C"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3068B9F" w14:textId="77777777" w:rsidR="00D0338B" w:rsidRDefault="00DB7EA0">
            <w:pPr>
              <w:keepNext/>
              <w:spacing w:before="53" w:after="30"/>
              <w:jc w:val="right"/>
            </w:pPr>
            <w:r>
              <w:rPr>
                <w:rFonts w:ascii="Arial" w:eastAsia="Arial" w:hAnsi="Arial" w:cs="Arial"/>
                <w:color w:val="000000"/>
                <w:sz w:val="16"/>
              </w:rPr>
              <w:t>(0.27)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D26F41B" w14:textId="77777777" w:rsidR="00D0338B" w:rsidRDefault="00D0338B">
            <w:pPr>
              <w:keepNext/>
              <w:spacing w:before="53" w:after="30"/>
              <w:jc w:val="right"/>
            </w:pPr>
          </w:p>
        </w:tc>
      </w:tr>
      <w:tr w:rsidR="00D0338B" w14:paraId="3F927D0F"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306793B" w14:textId="77777777" w:rsidR="00D0338B" w:rsidRDefault="00DB7EA0">
            <w:pPr>
              <w:keepNext/>
              <w:spacing w:before="53" w:after="30"/>
            </w:pPr>
            <w:r>
              <w:rPr>
                <w:rFonts w:ascii="Arial" w:eastAsia="Arial" w:hAnsi="Arial" w:cs="Arial"/>
                <w:color w:val="000000"/>
                <w:sz w:val="16"/>
              </w:rPr>
              <w:t>Talen litigation costs</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A65AA0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93856A3"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60765F"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CA9D51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A61484B"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1F5D21"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B44ACCF"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A6314D"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BE4857"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CEA04A0" w14:textId="77777777" w:rsidR="00D0338B" w:rsidRDefault="00DB7EA0">
            <w:pPr>
              <w:keepNext/>
              <w:spacing w:before="53" w:after="30"/>
              <w:jc w:val="right"/>
            </w:pPr>
            <w:r>
              <w:rPr>
                <w:rFonts w:ascii="Arial" w:eastAsia="Arial" w:hAnsi="Arial" w:cs="Arial"/>
                <w:color w:val="000000"/>
                <w:sz w:val="16"/>
              </w:rPr>
              <w:t>(0.02)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8C051DB"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110F55"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A860261" w14:textId="77777777" w:rsidR="00D0338B" w:rsidRDefault="00DB7EA0">
            <w:pPr>
              <w:keepNext/>
              <w:spacing w:before="53" w:after="30"/>
              <w:jc w:val="right"/>
            </w:pPr>
            <w:r>
              <w:rPr>
                <w:rFonts w:ascii="Arial" w:eastAsia="Arial" w:hAnsi="Arial" w:cs="Arial"/>
                <w:color w:val="000000"/>
                <w:sz w:val="16"/>
              </w:rPr>
              <w:t>(0.02)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215F631" w14:textId="77777777" w:rsidR="00D0338B" w:rsidRDefault="00D0338B">
            <w:pPr>
              <w:keepNext/>
              <w:spacing w:before="53" w:after="30"/>
              <w:jc w:val="right"/>
            </w:pPr>
          </w:p>
        </w:tc>
      </w:tr>
      <w:tr w:rsidR="00D0338B" w14:paraId="569EBD8B"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1D47852" w14:textId="77777777" w:rsidR="00D0338B" w:rsidRDefault="00DB7EA0">
            <w:pPr>
              <w:keepNext/>
              <w:spacing w:before="53" w:after="30"/>
              <w:rPr>
                <w:rFonts w:ascii="Arial" w:eastAsia="Arial" w:hAnsi="Arial" w:cs="Arial"/>
                <w:sz w:val="16"/>
              </w:rPr>
            </w:pPr>
            <w:r>
              <w:rPr>
                <w:rFonts w:ascii="Arial" w:eastAsia="Arial" w:hAnsi="Arial" w:cs="Arial"/>
                <w:sz w:val="16"/>
              </w:rPr>
              <w:t xml:space="preserve">COVID-19 impact </w:t>
            </w:r>
            <w:r>
              <w:rPr>
                <w:rFonts w:ascii="Arial" w:eastAsia="Arial" w:hAnsi="Arial" w:cs="Arial"/>
                <w:sz w:val="16"/>
                <w:vertAlign w:val="superscript"/>
              </w:rPr>
              <w:t>(2)</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F18D3C0" w14:textId="77777777" w:rsidR="00D0338B" w:rsidRDefault="00DB7EA0">
            <w:pPr>
              <w:keepNext/>
              <w:spacing w:before="53" w:after="30"/>
              <w:jc w:val="right"/>
            </w:pPr>
            <w:r>
              <w:rPr>
                <w:rFonts w:ascii="Arial" w:eastAsia="Arial" w:hAnsi="Arial" w:cs="Arial"/>
                <w:color w:val="000000"/>
                <w:sz w:val="16"/>
              </w:rPr>
              <w:t>(0.02)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807797"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78CC06"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A37D8DF"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87C2EB"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4D9E65"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6C24742"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347C27"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8BC175"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A895E7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F93D6A"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B5EAF8"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403EF4D" w14:textId="77777777" w:rsidR="00D0338B" w:rsidRDefault="00DB7EA0">
            <w:pPr>
              <w:keepNext/>
              <w:spacing w:before="53" w:after="30"/>
              <w:jc w:val="right"/>
            </w:pPr>
            <w:r>
              <w:rPr>
                <w:rFonts w:ascii="Arial" w:eastAsia="Arial" w:hAnsi="Arial" w:cs="Arial"/>
                <w:color w:val="000000"/>
                <w:sz w:val="16"/>
              </w:rPr>
              <w:t>(0.03)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6005A8E" w14:textId="77777777" w:rsidR="00D0338B" w:rsidRDefault="00D0338B">
            <w:pPr>
              <w:keepNext/>
              <w:spacing w:before="53" w:after="30"/>
              <w:jc w:val="right"/>
            </w:pPr>
          </w:p>
        </w:tc>
      </w:tr>
      <w:tr w:rsidR="00D0338B" w14:paraId="5430DDEF"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22DA7409" w14:textId="77777777" w:rsidR="00D0338B" w:rsidRDefault="00DB7EA0">
            <w:pPr>
              <w:keepNext/>
              <w:spacing w:before="53" w:after="30"/>
            </w:pPr>
            <w:r>
              <w:rPr>
                <w:rFonts w:ascii="Arial" w:eastAsia="Arial" w:hAnsi="Arial" w:cs="Arial"/>
                <w:color w:val="000000"/>
                <w:sz w:val="16"/>
              </w:rPr>
              <w:t>U.K. tax rate change</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1A23E62" w14:textId="77777777" w:rsidR="00D0338B" w:rsidRDefault="00DB7EA0">
            <w:pPr>
              <w:keepNext/>
              <w:spacing w:before="53" w:after="30"/>
              <w:jc w:val="right"/>
            </w:pPr>
            <w:r>
              <w:rPr>
                <w:rFonts w:ascii="Arial" w:eastAsia="Arial" w:hAnsi="Arial" w:cs="Arial"/>
                <w:color w:val="000000"/>
                <w:sz w:val="16"/>
              </w:rPr>
              <w:t>(0.14)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8400986"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BA1DF1"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7E1B6C3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D1410C9"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D4EAE1"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44376F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3757D7"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31ADD8"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DE71008"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5EF792"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4C6ED5"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4144D691" w14:textId="77777777" w:rsidR="00D0338B" w:rsidRDefault="00DB7EA0">
            <w:pPr>
              <w:keepNext/>
              <w:spacing w:before="53" w:after="30"/>
              <w:jc w:val="right"/>
            </w:pPr>
            <w:r>
              <w:rPr>
                <w:rFonts w:ascii="Arial" w:eastAsia="Arial" w:hAnsi="Arial" w:cs="Arial"/>
                <w:color w:val="000000"/>
                <w:sz w:val="16"/>
              </w:rPr>
              <w:t>(0.14)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E855D1" w14:textId="77777777" w:rsidR="00D0338B" w:rsidRDefault="00D0338B">
            <w:pPr>
              <w:keepNext/>
              <w:spacing w:before="53" w:after="30"/>
              <w:jc w:val="right"/>
            </w:pPr>
          </w:p>
        </w:tc>
      </w:tr>
      <w:tr w:rsidR="00D0338B" w14:paraId="508A819F"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1BEFDB3" w14:textId="77777777" w:rsidR="00D0338B" w:rsidRDefault="00DB7EA0">
            <w:pPr>
              <w:keepNext/>
              <w:spacing w:before="53" w:after="30"/>
            </w:pPr>
            <w:r>
              <w:rPr>
                <w:rFonts w:ascii="Arial" w:eastAsia="Arial" w:hAnsi="Arial" w:cs="Arial"/>
                <w:color w:val="000000"/>
                <w:sz w:val="16"/>
              </w:rPr>
              <w:t>Strategic corporate initiatives</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717C11A"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57CCB2"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54C91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3B35E1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32D2698"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2E5C53"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B98C473"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EB569FD"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AFCC48"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33C9090"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82DD2C"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6BC5EA"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9946F43" w14:textId="77777777" w:rsidR="00D0338B" w:rsidRDefault="00DB7EA0">
            <w:pPr>
              <w:keepNext/>
              <w:spacing w:before="53" w:after="30"/>
              <w:jc w:val="right"/>
            </w:pPr>
            <w:r>
              <w:rPr>
                <w:rFonts w:ascii="Arial" w:eastAsia="Arial" w:hAnsi="Arial" w:cs="Arial"/>
                <w:color w:val="000000"/>
                <w:sz w:val="16"/>
              </w:rPr>
              <w:t>(0.02)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E7D1B3A" w14:textId="77777777" w:rsidR="00D0338B" w:rsidRDefault="00D0338B">
            <w:pPr>
              <w:keepNext/>
              <w:spacing w:before="53" w:after="30"/>
              <w:jc w:val="right"/>
            </w:pPr>
          </w:p>
        </w:tc>
      </w:tr>
      <w:tr w:rsidR="00D0338B" w14:paraId="09DDFE8E" w14:textId="77777777">
        <w:trPr>
          <w:cantSplit/>
          <w:trHeight w:hRule="exact" w:val="300"/>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6C9B8CD9" w14:textId="77777777" w:rsidR="00D0338B" w:rsidRDefault="00DB7EA0">
            <w:pPr>
              <w:keepNext/>
              <w:spacing w:before="53" w:after="30"/>
            </w:pPr>
            <w:r>
              <w:rPr>
                <w:rFonts w:ascii="Arial" w:eastAsia="Arial" w:hAnsi="Arial" w:cs="Arial"/>
                <w:color w:val="000000"/>
                <w:sz w:val="16"/>
              </w:rPr>
              <w:t>Executive retirement benefits</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67743BD"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6E7A82"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5EA6B1"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72DA97F"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CC34C4"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1135EB"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54E55D0"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3EAD15"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82D206"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9C01064"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41887F"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1E4481"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536F6EF"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AC0238" w14:textId="77777777" w:rsidR="00D0338B" w:rsidRDefault="00D0338B">
            <w:pPr>
              <w:keepNext/>
              <w:spacing w:before="53" w:after="30"/>
              <w:jc w:val="right"/>
            </w:pPr>
          </w:p>
        </w:tc>
      </w:tr>
      <w:tr w:rsidR="00D0338B" w14:paraId="1F1993F2"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247B49C1" w14:textId="77777777" w:rsidR="00D0338B" w:rsidRDefault="00DB7EA0">
            <w:pPr>
              <w:keepNext/>
              <w:spacing w:before="53" w:after="30"/>
            </w:pPr>
            <w:r>
              <w:rPr>
                <w:rFonts w:ascii="Arial" w:eastAsia="Arial" w:hAnsi="Arial" w:cs="Arial"/>
                <w:b/>
                <w:color w:val="000000"/>
                <w:sz w:val="16"/>
              </w:rPr>
              <w:t>Total Special Items</w:t>
            </w: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8C9457C" w14:textId="77777777" w:rsidR="00D0338B" w:rsidRDefault="00DB7EA0">
            <w:pPr>
              <w:keepNext/>
              <w:spacing w:before="33" w:after="30"/>
              <w:jc w:val="right"/>
            </w:pPr>
            <w:r>
              <w:rPr>
                <w:rFonts w:ascii="Arial" w:eastAsia="Arial" w:hAnsi="Arial" w:cs="Arial"/>
                <w:color w:val="000000"/>
                <w:sz w:val="16"/>
              </w:rPr>
              <w:t>(0.44)</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C7B6DC1"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2E586F"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B037391" w14:textId="77777777" w:rsidR="00D0338B" w:rsidRDefault="00DB7EA0">
            <w:pPr>
              <w:keepNext/>
              <w:spacing w:before="33" w:after="30"/>
              <w:jc w:val="right"/>
            </w:pPr>
            <w:r>
              <w:rPr>
                <w:rFonts w:ascii="Arial" w:eastAsia="Arial" w:hAnsi="Arial" w:cs="Arial"/>
                <w:color w:val="000000"/>
                <w:sz w:val="16"/>
              </w:rPr>
              <w:t>(0.01)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E7541F7"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7074BA"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C3ACECC"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71C5008"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3740B7"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6BA5F0F" w14:textId="77777777" w:rsidR="00D0338B" w:rsidRDefault="00DB7EA0">
            <w:pPr>
              <w:keepNext/>
              <w:spacing w:before="33" w:after="30"/>
              <w:jc w:val="right"/>
            </w:pPr>
            <w:r>
              <w:rPr>
                <w:rFonts w:ascii="Arial" w:eastAsia="Arial" w:hAnsi="Arial" w:cs="Arial"/>
                <w:color w:val="000000"/>
                <w:sz w:val="16"/>
              </w:rPr>
              <w:t>(0.04)</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6DD8D3A"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7FCE8D"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E23C0F4" w14:textId="77777777" w:rsidR="00D0338B" w:rsidRDefault="00DB7EA0">
            <w:pPr>
              <w:keepNext/>
              <w:spacing w:before="33" w:after="30"/>
              <w:jc w:val="right"/>
            </w:pPr>
            <w:r>
              <w:rPr>
                <w:rFonts w:ascii="Arial" w:eastAsia="Arial" w:hAnsi="Arial" w:cs="Arial"/>
                <w:color w:val="000000"/>
                <w:sz w:val="16"/>
              </w:rPr>
              <w:t>(0.49)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CAE204A" w14:textId="77777777" w:rsidR="00D0338B" w:rsidRDefault="00D0338B">
            <w:pPr>
              <w:keepNext/>
              <w:spacing w:before="33" w:after="30"/>
              <w:jc w:val="right"/>
            </w:pPr>
          </w:p>
        </w:tc>
      </w:tr>
      <w:tr w:rsidR="00D0338B" w14:paraId="52397B85"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34D7552" w14:textId="77777777" w:rsidR="00D0338B" w:rsidRDefault="00DB7EA0">
            <w:pPr>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D9A8C6D"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D0A0FEE" w14:textId="77777777" w:rsidR="00D0338B" w:rsidRDefault="00DB7EA0">
            <w:pPr>
              <w:spacing w:before="33" w:after="30"/>
              <w:jc w:val="right"/>
            </w:pPr>
            <w:r>
              <w:rPr>
                <w:rFonts w:ascii="Arial" w:eastAsia="Arial" w:hAnsi="Arial" w:cs="Arial"/>
                <w:color w:val="000000"/>
                <w:sz w:val="16"/>
              </w:rPr>
              <w:t>1.33 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612119A"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3A0966"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38780B2"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0610335" w14:textId="77777777" w:rsidR="00D0338B" w:rsidRDefault="00DB7EA0">
            <w:pPr>
              <w:spacing w:before="33" w:after="30"/>
              <w:jc w:val="right"/>
            </w:pPr>
            <w:r>
              <w:rPr>
                <w:rFonts w:ascii="Arial" w:eastAsia="Arial" w:hAnsi="Arial" w:cs="Arial"/>
                <w:color w:val="000000"/>
                <w:sz w:val="16"/>
              </w:rPr>
              <w:t>0.55 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4C4DA39"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F4B1F8"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C5C5B33"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E2380C7" w14:textId="77777777" w:rsidR="00D0338B" w:rsidRDefault="00DB7EA0">
            <w:pPr>
              <w:spacing w:before="33" w:after="30"/>
              <w:jc w:val="right"/>
            </w:pPr>
            <w:r>
              <w:rPr>
                <w:rFonts w:ascii="Arial" w:eastAsia="Arial" w:hAnsi="Arial" w:cs="Arial"/>
                <w:color w:val="000000"/>
                <w:sz w:val="16"/>
              </w:rPr>
              <w:t>0.65 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310368B"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09740C"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5B5CC73"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A711451" w14:textId="77777777" w:rsidR="00D0338B" w:rsidRDefault="00DB7EA0">
            <w:pPr>
              <w:spacing w:before="33" w:after="30"/>
              <w:jc w:val="right"/>
            </w:pPr>
            <w:r>
              <w:rPr>
                <w:rFonts w:ascii="Arial" w:eastAsia="Arial" w:hAnsi="Arial" w:cs="Arial"/>
                <w:color w:val="000000"/>
                <w:sz w:val="16"/>
              </w:rPr>
              <w:t>(0.13)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F255EA3" w14:textId="77777777" w:rsidR="00D0338B" w:rsidRDefault="00D0338B">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AC6CC1" w14:textId="77777777" w:rsidR="00D0338B" w:rsidRDefault="00D0338B"/>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CD50446"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311DB4E" w14:textId="77777777" w:rsidR="00D0338B" w:rsidRDefault="00DB7EA0">
            <w:pPr>
              <w:spacing w:before="33" w:after="30"/>
              <w:jc w:val="right"/>
            </w:pPr>
            <w:r>
              <w:rPr>
                <w:rFonts w:ascii="Arial" w:eastAsia="Arial" w:hAnsi="Arial" w:cs="Arial"/>
                <w:color w:val="000000"/>
                <w:sz w:val="16"/>
              </w:rPr>
              <w:t>2.40 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F170C24" w14:textId="77777777" w:rsidR="00D0338B" w:rsidRDefault="00D0338B">
            <w:pPr>
              <w:spacing w:before="33" w:after="30"/>
              <w:jc w:val="right"/>
            </w:pPr>
          </w:p>
        </w:tc>
      </w:tr>
    </w:tbl>
    <w:p w14:paraId="0244913C" w14:textId="77777777" w:rsidR="00D0338B" w:rsidRDefault="00D0338B">
      <w:pPr>
        <w:spacing w:line="288" w:lineRule="auto"/>
        <w:jc w:val="center"/>
        <w:rPr>
          <w:sz w:val="20"/>
        </w:rPr>
      </w:pPr>
    </w:p>
    <w:p w14:paraId="1B845E33" w14:textId="77777777" w:rsidR="00D0338B" w:rsidRDefault="00DB7EA0">
      <w:pPr>
        <w:spacing w:line="288" w:lineRule="auto"/>
        <w:rPr>
          <w:rFonts w:ascii="Arial" w:eastAsia="Arial" w:hAnsi="Arial" w:cs="Arial"/>
          <w:sz w:val="16"/>
        </w:rPr>
      </w:pPr>
      <w:r>
        <w:rPr>
          <w:rFonts w:ascii="Arial" w:eastAsia="Arial" w:hAnsi="Arial" w:cs="Arial"/>
          <w:sz w:val="16"/>
        </w:rPr>
        <w:t>(1)</w:t>
      </w:r>
      <w:r>
        <w:rPr>
          <w:sz w:val="20"/>
        </w:rPr>
        <w:t xml:space="preserve"> </w:t>
      </w:r>
      <w:r>
        <w:rPr>
          <w:rFonts w:ascii="Arial" w:eastAsia="Arial" w:hAnsi="Arial" w:cs="Arial"/>
          <w:sz w:val="16"/>
        </w:rPr>
        <w:t>Reported Earnings represents Net Income.</w:t>
      </w:r>
    </w:p>
    <w:p w14:paraId="401E953C" w14:textId="77777777" w:rsidR="00D0338B" w:rsidRDefault="00DB7EA0">
      <w:pPr>
        <w:spacing w:line="288" w:lineRule="auto"/>
        <w:rPr>
          <w:rFonts w:ascii="Arial" w:eastAsia="Arial" w:hAnsi="Arial" w:cs="Arial"/>
          <w:sz w:val="16"/>
        </w:rPr>
      </w:pPr>
      <w:r>
        <w:rPr>
          <w:rFonts w:ascii="Arial" w:eastAsia="Arial" w:hAnsi="Arial" w:cs="Arial"/>
          <w:sz w:val="16"/>
        </w:rPr>
        <w:t>(2) COVID-19 impact relates to incremental costs for labor not chargeable to capital projects due to U.K. government lockdown restrictions,</w:t>
      </w:r>
    </w:p>
    <w:p w14:paraId="704FECF2" w14:textId="77777777" w:rsidR="00D0338B" w:rsidRDefault="00DB7EA0">
      <w:pPr>
        <w:spacing w:line="288" w:lineRule="auto"/>
        <w:rPr>
          <w:rFonts w:ascii="Arial" w:eastAsia="Arial" w:hAnsi="Arial" w:cs="Arial"/>
          <w:sz w:val="16"/>
        </w:rPr>
      </w:pPr>
      <w:r>
        <w:rPr>
          <w:rFonts w:ascii="Arial" w:eastAsia="Arial" w:hAnsi="Arial" w:cs="Arial"/>
          <w:sz w:val="16"/>
        </w:rPr>
        <w:t xml:space="preserve">      outside services, customer payment processing, purchases of personal protective equipment and other safety related actions associated </w:t>
      </w:r>
    </w:p>
    <w:p w14:paraId="4541EB10" w14:textId="77777777" w:rsidR="00D0338B" w:rsidRDefault="00DB7EA0">
      <w:pPr>
        <w:spacing w:line="288" w:lineRule="auto"/>
        <w:rPr>
          <w:rFonts w:ascii="Arial" w:eastAsia="Arial" w:hAnsi="Arial" w:cs="Arial"/>
          <w:sz w:val="16"/>
        </w:rPr>
      </w:pPr>
      <w:r>
        <w:rPr>
          <w:rFonts w:ascii="Arial" w:eastAsia="Arial" w:hAnsi="Arial" w:cs="Arial"/>
          <w:sz w:val="16"/>
        </w:rPr>
        <w:t xml:space="preserve">      with the COVID-19 pandemic.</w:t>
      </w:r>
    </w:p>
    <w:p w14:paraId="0CE39510" w14:textId="77777777" w:rsidR="00D0338B" w:rsidRDefault="00D0338B">
      <w:pPr>
        <w:spacing w:line="288" w:lineRule="auto"/>
        <w:sectPr w:rsidR="00D0338B">
          <w:pgSz w:w="12240" w:h="15840"/>
          <w:pgMar w:top="720" w:right="720" w:bottom="720" w:left="1080" w:header="270" w:footer="270" w:gutter="0"/>
          <w:cols w:space="708"/>
        </w:sect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7F1176FD"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11DA4EE6" w14:textId="77777777" w:rsidR="00D0338B" w:rsidRDefault="00DB7EA0">
            <w:pPr>
              <w:keepNext/>
              <w:spacing w:before="53" w:after="30"/>
            </w:pPr>
            <w:r>
              <w:rPr>
                <w:rFonts w:ascii="Arial" w:eastAsia="Arial" w:hAnsi="Arial" w:cs="Arial"/>
                <w:b/>
                <w:color w:val="000000"/>
                <w:sz w:val="20"/>
              </w:rPr>
              <w:lastRenderedPageBreak/>
              <w:t>Reconciliation of Segment Reported Earnings to Earnings from Ongoing Operations</w:t>
            </w:r>
          </w:p>
        </w:tc>
      </w:tr>
      <w:tr w:rsidR="00D0338B" w14:paraId="3AF256CF"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5C0EB2E8" w14:textId="77777777" w:rsidR="00D0338B" w:rsidRDefault="00DB7EA0">
            <w:pPr>
              <w:keepNext/>
              <w:spacing w:before="53" w:after="30"/>
            </w:pPr>
            <w:r>
              <w:rPr>
                <w:rFonts w:ascii="Arial" w:eastAsia="Arial" w:hAnsi="Arial" w:cs="Arial"/>
                <w:b/>
                <w:color w:val="000000"/>
                <w:sz w:val="20"/>
              </w:rPr>
              <w:t>(After-Tax)</w:t>
            </w:r>
          </w:p>
        </w:tc>
      </w:tr>
      <w:tr w:rsidR="00D0338B" w14:paraId="555822C8"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7DF90595" w14:textId="77777777" w:rsidR="00D0338B" w:rsidRDefault="00DB7EA0">
            <w:pPr>
              <w:keepNext/>
              <w:spacing w:before="53" w:after="30"/>
            </w:pPr>
            <w:r>
              <w:rPr>
                <w:rFonts w:ascii="Arial" w:eastAsia="Arial" w:hAnsi="Arial" w:cs="Arial"/>
                <w:b/>
                <w:color w:val="000000"/>
                <w:sz w:val="20"/>
              </w:rPr>
              <w:t>(Unaudited)</w:t>
            </w:r>
          </w:p>
        </w:tc>
      </w:tr>
      <w:tr w:rsidR="00D0338B" w14:paraId="028843DC" w14:textId="77777777">
        <w:trPr>
          <w:cantSplit/>
          <w:trHeight w:hRule="exact" w:val="300"/>
          <w:jc w:val="center"/>
        </w:trPr>
        <w:tc>
          <w:tcPr>
            <w:tcW w:w="5235" w:type="dxa"/>
            <w:tcBorders>
              <w:top w:val="nil"/>
              <w:left w:val="nil"/>
              <w:bottom w:val="nil"/>
              <w:right w:val="nil"/>
            </w:tcBorders>
            <w:tcMar>
              <w:top w:w="0" w:type="dxa"/>
              <w:left w:w="0" w:type="dxa"/>
              <w:bottom w:w="0" w:type="dxa"/>
              <w:right w:w="0" w:type="dxa"/>
            </w:tcMar>
            <w:vAlign w:val="bottom"/>
          </w:tcPr>
          <w:p w14:paraId="313B4406"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49AD6D33"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D432142"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335FB1C0"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7932E53E"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30917B34"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58304125"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4E401EAD"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CE5C4D1"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65BC43F7" w14:textId="77777777" w:rsidR="00D0338B" w:rsidRDefault="00D0338B">
            <w:pPr>
              <w:keepNext/>
            </w:pPr>
          </w:p>
        </w:tc>
      </w:tr>
      <w:tr w:rsidR="00D0338B" w14:paraId="190E52D2" w14:textId="77777777">
        <w:trPr>
          <w:cantSplit/>
          <w:trHeight w:hRule="exact" w:val="255"/>
          <w:jc w:val="center"/>
        </w:trPr>
        <w:tc>
          <w:tcPr>
            <w:tcW w:w="5235" w:type="dxa"/>
            <w:tcBorders>
              <w:top w:val="nil"/>
              <w:left w:val="nil"/>
              <w:bottom w:val="nil"/>
              <w:right w:val="nil"/>
            </w:tcBorders>
            <w:tcMar>
              <w:top w:w="0" w:type="dxa"/>
              <w:left w:w="53" w:type="dxa"/>
              <w:bottom w:w="0" w:type="dxa"/>
              <w:right w:w="53" w:type="dxa"/>
            </w:tcMar>
            <w:vAlign w:val="bottom"/>
          </w:tcPr>
          <w:p w14:paraId="409FFC54" w14:textId="77777777" w:rsidR="00D0338B" w:rsidRDefault="00DB7EA0">
            <w:pPr>
              <w:keepNext/>
              <w:spacing w:before="53" w:after="30"/>
            </w:pPr>
            <w:r>
              <w:rPr>
                <w:rFonts w:ascii="Arial" w:eastAsia="Arial" w:hAnsi="Arial" w:cs="Arial"/>
                <w:color w:val="000000"/>
                <w:sz w:val="16"/>
              </w:rPr>
              <w:t>4th Quarter 2019</w:t>
            </w: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549FFF34" w14:textId="77777777" w:rsidR="00D0338B" w:rsidRDefault="00DB7EA0">
            <w:pPr>
              <w:keepNext/>
              <w:spacing w:before="53" w:after="30"/>
              <w:jc w:val="center"/>
            </w:pPr>
            <w:r>
              <w:rPr>
                <w:rFonts w:ascii="Arial" w:eastAsia="Arial" w:hAnsi="Arial" w:cs="Arial"/>
                <w:color w:val="000000"/>
                <w:sz w:val="16"/>
              </w:rPr>
              <w:t>(millions of dollars)</w:t>
            </w:r>
          </w:p>
        </w:tc>
      </w:tr>
      <w:tr w:rsidR="00D0338B" w14:paraId="5B806555"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558C0F77"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793A2583"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6BE1843"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05B59DFB"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37A5F48"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28A6105E"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5CEBD5E"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6743831B"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4099959"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1F4CAC72" w14:textId="77777777" w:rsidR="00D0338B" w:rsidRDefault="00D0338B">
            <w:pPr>
              <w:keepNext/>
            </w:pPr>
          </w:p>
        </w:tc>
      </w:tr>
      <w:tr w:rsidR="00D0338B" w14:paraId="1BB1FD71"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67BC5880"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3F9C128C"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1805BD9"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14508F9E"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71A25692"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7BE00563"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5C3BABF6"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7840E617"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6CC7E582"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4BBC8E75"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56D885EB"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165490D9" w14:textId="77777777" w:rsidR="00D0338B" w:rsidRDefault="00DB7EA0">
            <w:pPr>
              <w:keepNext/>
              <w:spacing w:before="53" w:after="30"/>
              <w:outlineLvl w:val="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545A288"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B79231C" w14:textId="77777777" w:rsidR="00D0338B" w:rsidRDefault="00DB7EA0">
            <w:pPr>
              <w:keepNext/>
              <w:spacing w:before="33" w:after="30"/>
              <w:jc w:val="right"/>
            </w:pPr>
            <w:r>
              <w:rPr>
                <w:rFonts w:ascii="Arial" w:eastAsia="Arial" w:hAnsi="Arial" w:cs="Arial"/>
                <w:color w:val="000000"/>
                <w:sz w:val="16"/>
              </w:rPr>
              <w:t>193 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44ABA3"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79441D"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136D357"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F56A365" w14:textId="77777777" w:rsidR="00D0338B" w:rsidRDefault="00DB7EA0">
            <w:pPr>
              <w:keepNext/>
              <w:spacing w:before="33" w:after="30"/>
              <w:jc w:val="right"/>
            </w:pPr>
            <w:r>
              <w:rPr>
                <w:rFonts w:ascii="Arial" w:eastAsia="Arial" w:hAnsi="Arial" w:cs="Arial"/>
                <w:color w:val="000000"/>
                <w:sz w:val="16"/>
              </w:rPr>
              <w:t>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9C73E04"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A327F8"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D41537F"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E2D1975" w14:textId="77777777" w:rsidR="00D0338B" w:rsidRDefault="00DB7EA0">
            <w:pPr>
              <w:keepNext/>
              <w:spacing w:before="33" w:after="30"/>
              <w:jc w:val="right"/>
            </w:pPr>
            <w:r>
              <w:rPr>
                <w:rFonts w:ascii="Arial" w:eastAsia="Arial" w:hAnsi="Arial" w:cs="Arial"/>
                <w:color w:val="000000"/>
                <w:sz w:val="16"/>
              </w:rPr>
              <w:t>125 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336941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DD0B0D"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DFDEEDA"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1C10838" w14:textId="77777777" w:rsidR="00D0338B" w:rsidRDefault="00DB7EA0">
            <w:pPr>
              <w:keepNext/>
              <w:spacing w:before="33" w:after="30"/>
              <w:jc w:val="right"/>
            </w:pPr>
            <w:r>
              <w:rPr>
                <w:rFonts w:ascii="Arial" w:eastAsia="Arial" w:hAnsi="Arial" w:cs="Arial"/>
                <w:color w:val="000000"/>
                <w:sz w:val="16"/>
              </w:rPr>
              <w:t>(26)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565432F"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CF18D8"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BF90E34"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CA2C4C5" w14:textId="77777777" w:rsidR="00D0338B" w:rsidRDefault="00DB7EA0">
            <w:pPr>
              <w:keepNext/>
              <w:spacing w:before="33" w:after="30"/>
              <w:jc w:val="right"/>
            </w:pPr>
            <w:r>
              <w:rPr>
                <w:rFonts w:ascii="Arial" w:eastAsia="Arial" w:hAnsi="Arial" w:cs="Arial"/>
                <w:color w:val="000000"/>
                <w:sz w:val="16"/>
              </w:rPr>
              <w:t>364 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B63985A" w14:textId="77777777" w:rsidR="00D0338B" w:rsidRDefault="00D0338B">
            <w:pPr>
              <w:keepNext/>
              <w:spacing w:before="33" w:after="30"/>
              <w:jc w:val="right"/>
            </w:pPr>
          </w:p>
        </w:tc>
      </w:tr>
      <w:tr w:rsidR="00D0338B" w14:paraId="1D714F5A"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4B965E50"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62AD0A0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6604F6"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1BD90C1D"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B27798"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09A2F1DE"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2577A3"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76B859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F03EAD"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05A170CE" w14:textId="77777777" w:rsidR="00D0338B" w:rsidRDefault="00D0338B">
            <w:pPr>
              <w:keepNext/>
            </w:pPr>
          </w:p>
        </w:tc>
      </w:tr>
      <w:tr w:rsidR="00D0338B" w14:paraId="1124430E"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1EFDF23C" w14:textId="77777777" w:rsidR="00D0338B" w:rsidRDefault="00DB7EA0">
            <w:pPr>
              <w:keepNext/>
              <w:spacing w:before="53" w:after="30"/>
            </w:pPr>
            <w:r>
              <w:rPr>
                <w:rFonts w:ascii="Arial" w:eastAsia="Arial" w:hAnsi="Arial" w:cs="Arial"/>
                <w:color w:val="000000"/>
                <w:sz w:val="16"/>
              </w:rPr>
              <w:t>Foreign currency economic hedges, net of tax of $17</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F42A6AA" w14:textId="77777777" w:rsidR="00D0338B" w:rsidRDefault="00DB7EA0">
            <w:pPr>
              <w:keepNext/>
              <w:spacing w:before="53" w:after="30"/>
              <w:jc w:val="right"/>
            </w:pPr>
            <w:r>
              <w:rPr>
                <w:rFonts w:ascii="Arial" w:eastAsia="Arial" w:hAnsi="Arial" w:cs="Arial"/>
                <w:color w:val="000000"/>
                <w:sz w:val="16"/>
              </w:rPr>
              <w:t>(66)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008A73"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CC0438"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3CA92C9"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6E1CEE"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58D69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F2D29B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A5F034"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FCC081"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571BE8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7A6F438"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F3FB83"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D048B09" w14:textId="77777777" w:rsidR="00D0338B" w:rsidRDefault="00DB7EA0">
            <w:pPr>
              <w:keepNext/>
              <w:spacing w:before="53" w:after="30"/>
              <w:jc w:val="right"/>
            </w:pPr>
            <w:r>
              <w:rPr>
                <w:rFonts w:ascii="Arial" w:eastAsia="Arial" w:hAnsi="Arial" w:cs="Arial"/>
                <w:color w:val="000000"/>
                <w:sz w:val="16"/>
              </w:rPr>
              <w:t>(66)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256A5D2" w14:textId="77777777" w:rsidR="00D0338B" w:rsidRDefault="00D0338B">
            <w:pPr>
              <w:keepNext/>
              <w:spacing w:before="53" w:after="30"/>
              <w:jc w:val="right"/>
            </w:pPr>
          </w:p>
        </w:tc>
      </w:tr>
      <w:tr w:rsidR="00D0338B" w14:paraId="3356C50C"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372D3ACA" w14:textId="77777777" w:rsidR="00D0338B" w:rsidRDefault="00DB7EA0">
            <w:pPr>
              <w:keepNext/>
              <w:spacing w:before="53" w:after="30"/>
            </w:pPr>
            <w:r>
              <w:rPr>
                <w:rFonts w:ascii="Arial" w:eastAsia="Arial" w:hAnsi="Arial" w:cs="Arial"/>
                <w:color w:val="000000"/>
                <w:sz w:val="16"/>
              </w:rPr>
              <w:t>Talen litigation costs, net of tax of $0</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5D3534E4"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3B030A"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F08C45"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64213A7"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F8A64F"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113132"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B98EE7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00C730"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E642C3"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19BE527" w14:textId="77777777" w:rsidR="00D0338B" w:rsidRDefault="00DB7EA0">
            <w:pPr>
              <w:keepNext/>
              <w:spacing w:before="53" w:after="30"/>
              <w:jc w:val="right"/>
            </w:pPr>
            <w:r>
              <w:rPr>
                <w:rFonts w:ascii="Arial" w:eastAsia="Arial" w:hAnsi="Arial" w:cs="Arial"/>
                <w:color w:val="000000"/>
                <w:sz w:val="16"/>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B2F51A"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71C63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7CD97FA" w14:textId="77777777" w:rsidR="00D0338B" w:rsidRDefault="00DB7EA0">
            <w:pPr>
              <w:keepNext/>
              <w:spacing w:before="53" w:after="30"/>
              <w:jc w:val="right"/>
            </w:pPr>
            <w:r>
              <w:rPr>
                <w:rFonts w:ascii="Arial" w:eastAsia="Arial" w:hAnsi="Arial" w:cs="Arial"/>
                <w:color w:val="000000"/>
                <w:sz w:val="16"/>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4C188D" w14:textId="77777777" w:rsidR="00D0338B" w:rsidRDefault="00D0338B">
            <w:pPr>
              <w:keepNext/>
              <w:spacing w:before="53" w:after="30"/>
              <w:jc w:val="right"/>
            </w:pPr>
          </w:p>
        </w:tc>
      </w:tr>
      <w:tr w:rsidR="00D0338B" w14:paraId="39714211"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22D21F73" w14:textId="77777777" w:rsidR="00D0338B" w:rsidRDefault="00DB7EA0">
            <w:pPr>
              <w:keepNext/>
              <w:spacing w:before="53" w:after="30"/>
            </w:pPr>
            <w:r>
              <w:rPr>
                <w:rFonts w:ascii="Arial" w:eastAsia="Arial" w:hAnsi="Arial" w:cs="Arial"/>
                <w:b/>
                <w:color w:val="000000"/>
                <w:sz w:val="16"/>
              </w:rPr>
              <w:t xml:space="preserve">Total Special Items </w:t>
            </w: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20D3A31" w14:textId="77777777" w:rsidR="00D0338B" w:rsidRDefault="00DB7EA0">
            <w:pPr>
              <w:keepNext/>
              <w:spacing w:before="33" w:after="30"/>
              <w:jc w:val="right"/>
            </w:pPr>
            <w:r>
              <w:rPr>
                <w:rFonts w:ascii="Arial" w:eastAsia="Arial" w:hAnsi="Arial" w:cs="Arial"/>
                <w:color w:val="000000"/>
                <w:sz w:val="16"/>
              </w:rPr>
              <w:t>(66)</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07E6B95"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F1D753"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4DE345D"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B8BB561"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BA2769"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586CF26"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FC59CC7"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1C4C11"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79F16D9" w14:textId="77777777" w:rsidR="00D0338B" w:rsidRDefault="00DB7EA0">
            <w:pPr>
              <w:keepNext/>
              <w:spacing w:before="33" w:after="30"/>
              <w:jc w:val="right"/>
            </w:pPr>
            <w:r>
              <w:rPr>
                <w:rFonts w:ascii="Arial" w:eastAsia="Arial" w:hAnsi="Arial" w:cs="Arial"/>
                <w:color w:val="000000"/>
                <w:sz w:val="16"/>
              </w:rPr>
              <w:t>(1)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D3C413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9FF37E"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24CE7F1" w14:textId="77777777" w:rsidR="00D0338B" w:rsidRDefault="00DB7EA0">
            <w:pPr>
              <w:keepNext/>
              <w:spacing w:before="33" w:after="30"/>
              <w:jc w:val="right"/>
            </w:pPr>
            <w:r>
              <w:rPr>
                <w:rFonts w:ascii="Arial" w:eastAsia="Arial" w:hAnsi="Arial" w:cs="Arial"/>
                <w:color w:val="000000"/>
                <w:sz w:val="16"/>
              </w:rPr>
              <w:t>(67)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B6AC0C0" w14:textId="77777777" w:rsidR="00D0338B" w:rsidRDefault="00D0338B">
            <w:pPr>
              <w:keepNext/>
              <w:spacing w:before="33" w:after="30"/>
              <w:jc w:val="right"/>
            </w:pPr>
          </w:p>
        </w:tc>
      </w:tr>
      <w:tr w:rsidR="00D0338B" w14:paraId="28C4C60A"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4900687B" w14:textId="77777777" w:rsidR="00D0338B" w:rsidRDefault="00DB7EA0">
            <w:pPr>
              <w:keepNext/>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FB51C83"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213A1A9" w14:textId="77777777" w:rsidR="00D0338B" w:rsidRDefault="00DB7EA0">
            <w:pPr>
              <w:keepNext/>
              <w:spacing w:before="33" w:after="30"/>
              <w:jc w:val="right"/>
            </w:pPr>
            <w:r>
              <w:rPr>
                <w:rFonts w:ascii="Arial" w:eastAsia="Arial" w:hAnsi="Arial" w:cs="Arial"/>
                <w:color w:val="000000"/>
                <w:sz w:val="16"/>
              </w:rPr>
              <w:t>259 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62DA297"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C35EA9"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5135122"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11C7A18" w14:textId="77777777" w:rsidR="00D0338B" w:rsidRDefault="00DB7EA0">
            <w:pPr>
              <w:keepNext/>
              <w:spacing w:before="33" w:after="30"/>
              <w:jc w:val="right"/>
            </w:pPr>
            <w:r>
              <w:rPr>
                <w:rFonts w:ascii="Arial" w:eastAsia="Arial" w:hAnsi="Arial" w:cs="Arial"/>
                <w:color w:val="000000"/>
                <w:sz w:val="16"/>
              </w:rPr>
              <w:t>72 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C849E32"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B5B5D6"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40DB799"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D492ECA" w14:textId="77777777" w:rsidR="00D0338B" w:rsidRDefault="00DB7EA0">
            <w:pPr>
              <w:keepNext/>
              <w:spacing w:before="33" w:after="30"/>
              <w:jc w:val="right"/>
            </w:pPr>
            <w:r>
              <w:rPr>
                <w:rFonts w:ascii="Arial" w:eastAsia="Arial" w:hAnsi="Arial" w:cs="Arial"/>
                <w:color w:val="000000"/>
                <w:sz w:val="16"/>
              </w:rPr>
              <w:t>125 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B94DCCA"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E71050"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369D295"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DC09258" w14:textId="77777777" w:rsidR="00D0338B" w:rsidRDefault="00DB7EA0">
            <w:pPr>
              <w:keepNext/>
              <w:spacing w:before="33" w:after="30"/>
              <w:jc w:val="right"/>
            </w:pPr>
            <w:r>
              <w:rPr>
                <w:rFonts w:ascii="Arial" w:eastAsia="Arial" w:hAnsi="Arial" w:cs="Arial"/>
                <w:color w:val="000000"/>
                <w:sz w:val="16"/>
              </w:rPr>
              <w:t>(25)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FBB093D"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5E701B"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2FF9AE4"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2E609ED" w14:textId="77777777" w:rsidR="00D0338B" w:rsidRDefault="00DB7EA0">
            <w:pPr>
              <w:keepNext/>
              <w:spacing w:before="33" w:after="30"/>
              <w:jc w:val="right"/>
            </w:pPr>
            <w:r>
              <w:rPr>
                <w:rFonts w:ascii="Arial" w:eastAsia="Arial" w:hAnsi="Arial" w:cs="Arial"/>
                <w:color w:val="000000"/>
                <w:sz w:val="16"/>
              </w:rPr>
              <w:t>431 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E178E8E" w14:textId="77777777" w:rsidR="00D0338B" w:rsidRDefault="00D0338B">
            <w:pPr>
              <w:keepNext/>
              <w:spacing w:before="33" w:after="30"/>
              <w:jc w:val="right"/>
            </w:pPr>
          </w:p>
        </w:tc>
      </w:tr>
      <w:tr w:rsidR="00D0338B" w14:paraId="2F059C7E" w14:textId="77777777">
        <w:trPr>
          <w:cantSplit/>
          <w:trHeight w:hRule="exact" w:val="255"/>
          <w:jc w:val="center"/>
        </w:trPr>
        <w:tc>
          <w:tcPr>
            <w:tcW w:w="5235" w:type="dxa"/>
            <w:tcBorders>
              <w:top w:val="nil"/>
              <w:left w:val="nil"/>
              <w:bottom w:val="nil"/>
              <w:right w:val="nil"/>
            </w:tcBorders>
            <w:shd w:val="clear" w:color="auto" w:fill="CCEEFF"/>
            <w:tcMar>
              <w:top w:w="0" w:type="dxa"/>
              <w:left w:w="0" w:type="dxa"/>
              <w:bottom w:w="0" w:type="dxa"/>
              <w:right w:w="0" w:type="dxa"/>
            </w:tcMar>
            <w:vAlign w:val="bottom"/>
          </w:tcPr>
          <w:p w14:paraId="1FEE290E" w14:textId="77777777" w:rsidR="00D0338B" w:rsidRDefault="00D0338B"/>
        </w:tc>
        <w:tc>
          <w:tcPr>
            <w:tcW w:w="9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EA9B323" w14:textId="77777777" w:rsidR="00D0338B" w:rsidRDefault="00D0338B"/>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4A1045" w14:textId="77777777" w:rsidR="00D0338B" w:rsidRDefault="00D0338B"/>
        </w:tc>
        <w:tc>
          <w:tcPr>
            <w:tcW w:w="9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775EF6A3" w14:textId="77777777" w:rsidR="00D0338B" w:rsidRDefault="00D0338B"/>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28C7AD" w14:textId="77777777" w:rsidR="00D0338B" w:rsidRDefault="00D0338B"/>
        </w:tc>
        <w:tc>
          <w:tcPr>
            <w:tcW w:w="9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6480E015" w14:textId="77777777" w:rsidR="00D0338B" w:rsidRDefault="00D0338B"/>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217439" w14:textId="77777777" w:rsidR="00D0338B" w:rsidRDefault="00D0338B"/>
        </w:tc>
        <w:tc>
          <w:tcPr>
            <w:tcW w:w="9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1748C72" w14:textId="77777777" w:rsidR="00D0338B" w:rsidRDefault="00D0338B"/>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3CADCE" w14:textId="77777777" w:rsidR="00D0338B" w:rsidRDefault="00D0338B"/>
        </w:tc>
        <w:tc>
          <w:tcPr>
            <w:tcW w:w="9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5E4A11E" w14:textId="77777777" w:rsidR="00D0338B" w:rsidRDefault="00D0338B"/>
        </w:tc>
      </w:tr>
    </w:tbl>
    <w:p w14:paraId="05516824" w14:textId="77777777" w:rsidR="00D0338B" w:rsidRDefault="00D0338B">
      <w:pPr>
        <w:spacing w:after="100"/>
        <w:rPr>
          <w:sz w:val="10"/>
        </w:rPr>
      </w:pPr>
      <w:bookmarkStart w:id="8" w:name="Section9"/>
      <w:bookmarkEnd w:id="8"/>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63341B16"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1F14E2CE" w14:textId="77777777" w:rsidR="00D0338B" w:rsidRDefault="00D0338B">
            <w:pPr>
              <w:keepNext/>
            </w:pP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7F4DB560" w14:textId="77777777" w:rsidR="00D0338B" w:rsidRDefault="00DB7EA0">
            <w:pPr>
              <w:keepNext/>
              <w:spacing w:before="53" w:after="30"/>
              <w:jc w:val="center"/>
            </w:pPr>
            <w:r>
              <w:rPr>
                <w:rFonts w:ascii="Arial" w:eastAsia="Arial" w:hAnsi="Arial" w:cs="Arial"/>
                <w:color w:val="000000"/>
                <w:sz w:val="16"/>
              </w:rPr>
              <w:t>(per share - diluted)</w:t>
            </w:r>
          </w:p>
        </w:tc>
      </w:tr>
      <w:tr w:rsidR="00D0338B" w14:paraId="6EAE648F"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60FFF488"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5654E191"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15E618D"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6CD12AF2"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F69861E"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7E4AFEA4"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E17E04D"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1504B43B"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082EF22"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6A1CD1ED" w14:textId="77777777" w:rsidR="00D0338B" w:rsidRDefault="00D0338B">
            <w:pPr>
              <w:keepNext/>
            </w:pPr>
          </w:p>
        </w:tc>
      </w:tr>
      <w:tr w:rsidR="00D0338B" w14:paraId="5B0D71E9"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3354BEA2"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552209EB"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15E357A3"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4DA5C4D5"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B7CF731"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34240E82"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64D66DE"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42704417"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67F10058"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23A70F94"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6B8312EA"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2DD7ECFC" w14:textId="77777777" w:rsidR="00D0338B" w:rsidRDefault="00DB7EA0">
            <w:pPr>
              <w:keepNext/>
              <w:spacing w:before="53" w:after="3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FAB4441"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866611A" w14:textId="77777777" w:rsidR="00D0338B" w:rsidRDefault="00DB7EA0">
            <w:pPr>
              <w:keepNext/>
              <w:spacing w:before="33" w:after="30"/>
              <w:jc w:val="right"/>
            </w:pPr>
            <w:r>
              <w:rPr>
                <w:rFonts w:ascii="Arial" w:eastAsia="Arial" w:hAnsi="Arial" w:cs="Arial"/>
                <w:color w:val="000000"/>
                <w:sz w:val="16"/>
              </w:rPr>
              <w:t>0.26 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AA82D71"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E3F96D"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4E4BF55"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68D2016" w14:textId="77777777" w:rsidR="00D0338B" w:rsidRDefault="00DB7EA0">
            <w:pPr>
              <w:keepNext/>
              <w:spacing w:before="33" w:after="30"/>
              <w:jc w:val="right"/>
            </w:pPr>
            <w:r>
              <w:rPr>
                <w:rFonts w:ascii="Arial" w:eastAsia="Arial" w:hAnsi="Arial" w:cs="Arial"/>
                <w:color w:val="000000"/>
                <w:sz w:val="16"/>
              </w:rPr>
              <w:t>0.10 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F149760"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001E3D"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394AE0E"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9E602C9" w14:textId="77777777" w:rsidR="00D0338B" w:rsidRDefault="00DB7EA0">
            <w:pPr>
              <w:keepNext/>
              <w:spacing w:before="33" w:after="30"/>
              <w:jc w:val="right"/>
            </w:pPr>
            <w:r>
              <w:rPr>
                <w:rFonts w:ascii="Arial" w:eastAsia="Arial" w:hAnsi="Arial" w:cs="Arial"/>
                <w:color w:val="000000"/>
                <w:sz w:val="16"/>
              </w:rPr>
              <w:t>0.16 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805BF9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941D9C"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040B905"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E06DC5E" w14:textId="77777777" w:rsidR="00D0338B" w:rsidRDefault="00DB7EA0">
            <w:pPr>
              <w:keepNext/>
              <w:spacing w:before="33" w:after="30"/>
              <w:jc w:val="right"/>
            </w:pPr>
            <w:r>
              <w:rPr>
                <w:rFonts w:ascii="Arial" w:eastAsia="Arial" w:hAnsi="Arial" w:cs="Arial"/>
                <w:color w:val="000000"/>
                <w:sz w:val="16"/>
              </w:rPr>
              <w:t>(0.04)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840DD09"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6C88C5"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DC7D9FD"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7029262" w14:textId="77777777" w:rsidR="00D0338B" w:rsidRDefault="00DB7EA0">
            <w:pPr>
              <w:keepNext/>
              <w:spacing w:before="33" w:after="30"/>
              <w:jc w:val="right"/>
            </w:pPr>
            <w:r>
              <w:rPr>
                <w:rFonts w:ascii="Arial" w:eastAsia="Arial" w:hAnsi="Arial" w:cs="Arial"/>
                <w:color w:val="000000"/>
                <w:sz w:val="16"/>
              </w:rPr>
              <w:t>0.48 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8B67A6A" w14:textId="77777777" w:rsidR="00D0338B" w:rsidRDefault="00D0338B">
            <w:pPr>
              <w:keepNext/>
              <w:spacing w:before="33" w:after="30"/>
              <w:jc w:val="right"/>
            </w:pPr>
          </w:p>
        </w:tc>
      </w:tr>
      <w:tr w:rsidR="00D0338B" w14:paraId="47205E0B" w14:textId="77777777">
        <w:trPr>
          <w:cantSplit/>
          <w:trHeight w:hRule="exact" w:val="255"/>
          <w:jc w:val="center"/>
        </w:trPr>
        <w:tc>
          <w:tcPr>
            <w:tcW w:w="5235" w:type="dxa"/>
            <w:tcBorders>
              <w:top w:val="nil"/>
              <w:left w:val="nil"/>
              <w:bottom w:val="nil"/>
              <w:right w:val="nil"/>
            </w:tcBorders>
            <w:tcMar>
              <w:top w:w="0" w:type="dxa"/>
              <w:left w:w="53" w:type="dxa"/>
              <w:bottom w:w="0" w:type="dxa"/>
              <w:right w:w="53" w:type="dxa"/>
            </w:tcMar>
            <w:vAlign w:val="bottom"/>
          </w:tcPr>
          <w:p w14:paraId="1E79961E"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3980C129"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7F0795"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3528FC1"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61DAE5"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62175FBA"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C048EC"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CBA6438"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A3940F"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6F73C383" w14:textId="77777777" w:rsidR="00D0338B" w:rsidRDefault="00D0338B">
            <w:pPr>
              <w:keepNext/>
            </w:pPr>
          </w:p>
        </w:tc>
      </w:tr>
      <w:tr w:rsidR="00D0338B" w14:paraId="1CBCFA1C"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3FC4A3BD" w14:textId="77777777" w:rsidR="00D0338B" w:rsidRDefault="00DB7EA0">
            <w:pPr>
              <w:keepNext/>
              <w:spacing w:before="53" w:after="30"/>
            </w:pPr>
            <w:r>
              <w:rPr>
                <w:rFonts w:ascii="Arial" w:eastAsia="Arial" w:hAnsi="Arial" w:cs="Arial"/>
                <w:color w:val="000000"/>
                <w:sz w:val="16"/>
              </w:rPr>
              <w:t>Foreign currency economic hedges</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5CA5808" w14:textId="77777777" w:rsidR="00D0338B" w:rsidRDefault="00DB7EA0">
            <w:pPr>
              <w:keepNext/>
              <w:spacing w:before="53" w:after="30"/>
              <w:jc w:val="right"/>
            </w:pPr>
            <w:r>
              <w:rPr>
                <w:rFonts w:ascii="Arial" w:eastAsia="Arial" w:hAnsi="Arial" w:cs="Arial"/>
                <w:color w:val="000000"/>
                <w:sz w:val="16"/>
              </w:rPr>
              <w:t>(0.09)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EA02AF5"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9CE32E"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AC41E0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C09C80"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40CFE9"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9750FAF"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E797F3"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BD03EC"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B4C228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D4FB1E"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B28D95"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FEE653F" w14:textId="77777777" w:rsidR="00D0338B" w:rsidRDefault="00DB7EA0">
            <w:pPr>
              <w:keepNext/>
              <w:spacing w:before="53" w:after="30"/>
              <w:jc w:val="right"/>
            </w:pPr>
            <w:r>
              <w:rPr>
                <w:rFonts w:ascii="Arial" w:eastAsia="Arial" w:hAnsi="Arial" w:cs="Arial"/>
                <w:color w:val="000000"/>
                <w:sz w:val="16"/>
              </w:rPr>
              <w:t>(0.09)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AEECBD" w14:textId="77777777" w:rsidR="00D0338B" w:rsidRDefault="00D0338B">
            <w:pPr>
              <w:keepNext/>
              <w:spacing w:before="53" w:after="30"/>
              <w:jc w:val="right"/>
            </w:pPr>
          </w:p>
        </w:tc>
      </w:tr>
      <w:tr w:rsidR="00D0338B" w14:paraId="42A9B22D"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18D3C9C8" w14:textId="77777777" w:rsidR="00D0338B" w:rsidRDefault="00DB7EA0">
            <w:pPr>
              <w:keepNext/>
              <w:spacing w:before="53" w:after="30"/>
            </w:pPr>
            <w:r>
              <w:rPr>
                <w:rFonts w:ascii="Arial" w:eastAsia="Arial" w:hAnsi="Arial" w:cs="Arial"/>
                <w:b/>
                <w:color w:val="000000"/>
                <w:sz w:val="16"/>
              </w:rPr>
              <w:t xml:space="preserve">Total Special Items </w:t>
            </w: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FF0CDAF" w14:textId="77777777" w:rsidR="00D0338B" w:rsidRDefault="00DB7EA0">
            <w:pPr>
              <w:keepNext/>
              <w:spacing w:before="33" w:after="30"/>
              <w:jc w:val="right"/>
            </w:pPr>
            <w:r>
              <w:rPr>
                <w:rFonts w:ascii="Arial" w:eastAsia="Arial" w:hAnsi="Arial" w:cs="Arial"/>
                <w:color w:val="000000"/>
                <w:sz w:val="16"/>
              </w:rPr>
              <w:t>(0.09)</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40F65C1"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BF52E9"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FDC9E85"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DBA211E"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955CB5"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512594F"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BF8DF1A"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93B327"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E4C9652"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B2F6F47"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CCC611"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BD75AC3" w14:textId="77777777" w:rsidR="00D0338B" w:rsidRDefault="00DB7EA0">
            <w:pPr>
              <w:keepNext/>
              <w:spacing w:before="33" w:after="30"/>
              <w:jc w:val="right"/>
            </w:pPr>
            <w:r>
              <w:rPr>
                <w:rFonts w:ascii="Arial" w:eastAsia="Arial" w:hAnsi="Arial" w:cs="Arial"/>
                <w:color w:val="000000"/>
                <w:sz w:val="16"/>
              </w:rPr>
              <w:t>(0.09)</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FC1A37B" w14:textId="77777777" w:rsidR="00D0338B" w:rsidRDefault="00D0338B">
            <w:pPr>
              <w:keepNext/>
              <w:spacing w:before="33" w:after="30"/>
              <w:jc w:val="right"/>
            </w:pPr>
          </w:p>
        </w:tc>
      </w:tr>
      <w:tr w:rsidR="00D0338B" w14:paraId="7C3634A5"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03253202" w14:textId="77777777" w:rsidR="00D0338B" w:rsidRDefault="00DB7EA0">
            <w:pPr>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4FC190B"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6599C2F" w14:textId="77777777" w:rsidR="00D0338B" w:rsidRDefault="00DB7EA0">
            <w:pPr>
              <w:spacing w:before="33" w:after="30"/>
              <w:jc w:val="right"/>
            </w:pPr>
            <w:r>
              <w:rPr>
                <w:rFonts w:ascii="Arial" w:eastAsia="Arial" w:hAnsi="Arial" w:cs="Arial"/>
                <w:color w:val="000000"/>
                <w:sz w:val="16"/>
              </w:rPr>
              <w:t>0.35 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6C971BF"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1D687A"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83E0415"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E2F8BE4" w14:textId="77777777" w:rsidR="00D0338B" w:rsidRDefault="00DB7EA0">
            <w:pPr>
              <w:spacing w:before="33" w:after="30"/>
              <w:jc w:val="right"/>
            </w:pPr>
            <w:r>
              <w:rPr>
                <w:rFonts w:ascii="Arial" w:eastAsia="Arial" w:hAnsi="Arial" w:cs="Arial"/>
                <w:color w:val="000000"/>
                <w:sz w:val="16"/>
              </w:rPr>
              <w:t>0.10 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116AA2F"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8B8665"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CAFA8CF"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9EBE385" w14:textId="77777777" w:rsidR="00D0338B" w:rsidRDefault="00DB7EA0">
            <w:pPr>
              <w:spacing w:before="33" w:after="30"/>
              <w:jc w:val="right"/>
            </w:pPr>
            <w:r>
              <w:rPr>
                <w:rFonts w:ascii="Arial" w:eastAsia="Arial" w:hAnsi="Arial" w:cs="Arial"/>
                <w:color w:val="000000"/>
                <w:sz w:val="16"/>
              </w:rPr>
              <w:t>0.16 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9842262"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27E4DE"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E83D545"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2996985" w14:textId="77777777" w:rsidR="00D0338B" w:rsidRDefault="00DB7EA0">
            <w:pPr>
              <w:spacing w:before="33" w:after="30"/>
              <w:jc w:val="right"/>
            </w:pPr>
            <w:r>
              <w:rPr>
                <w:rFonts w:ascii="Arial" w:eastAsia="Arial" w:hAnsi="Arial" w:cs="Arial"/>
                <w:color w:val="000000"/>
                <w:sz w:val="16"/>
              </w:rPr>
              <w:t>(0.04)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271E8AA"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F770F7"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DB577D7"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5C35137" w14:textId="77777777" w:rsidR="00D0338B" w:rsidRDefault="00DB7EA0">
            <w:pPr>
              <w:spacing w:before="33" w:after="30"/>
              <w:jc w:val="right"/>
            </w:pPr>
            <w:r>
              <w:rPr>
                <w:rFonts w:ascii="Arial" w:eastAsia="Arial" w:hAnsi="Arial" w:cs="Arial"/>
                <w:color w:val="000000"/>
                <w:sz w:val="16"/>
              </w:rPr>
              <w:t>0.57 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10F8A36" w14:textId="77777777" w:rsidR="00D0338B" w:rsidRDefault="00D0338B">
            <w:pPr>
              <w:spacing w:before="33" w:after="30"/>
              <w:jc w:val="right"/>
            </w:pPr>
          </w:p>
        </w:tc>
      </w:tr>
    </w:tbl>
    <w:p w14:paraId="468EA809" w14:textId="77777777" w:rsidR="00D0338B" w:rsidRDefault="00D0338B">
      <w:pPr>
        <w:spacing w:line="288" w:lineRule="auto"/>
        <w:rPr>
          <w:sz w:val="20"/>
        </w:rPr>
      </w:pPr>
    </w:p>
    <w:p w14:paraId="69D1321D" w14:textId="77777777" w:rsidR="00D0338B" w:rsidRDefault="00DB7EA0">
      <w:pPr>
        <w:spacing w:line="288" w:lineRule="auto"/>
        <w:rPr>
          <w:rFonts w:ascii="Arial" w:eastAsia="Arial" w:hAnsi="Arial" w:cs="Arial"/>
          <w:sz w:val="16"/>
        </w:rPr>
      </w:pPr>
      <w:r>
        <w:rPr>
          <w:rFonts w:ascii="Arial" w:eastAsia="Arial" w:hAnsi="Arial" w:cs="Arial"/>
          <w:sz w:val="16"/>
        </w:rPr>
        <w:t>(1)</w:t>
      </w:r>
      <w:r>
        <w:rPr>
          <w:sz w:val="20"/>
        </w:rPr>
        <w:t xml:space="preserve"> </w:t>
      </w:r>
      <w:r>
        <w:rPr>
          <w:rFonts w:ascii="Arial" w:eastAsia="Arial" w:hAnsi="Arial" w:cs="Arial"/>
          <w:sz w:val="16"/>
        </w:rPr>
        <w:t>Reported Earnings represents Net Income.</w:t>
      </w:r>
    </w:p>
    <w:p w14:paraId="197C825E" w14:textId="77777777" w:rsidR="00D0338B" w:rsidRDefault="00D0338B">
      <w:pPr>
        <w:spacing w:line="288" w:lineRule="auto"/>
        <w:sectPr w:rsidR="00D0338B">
          <w:pgSz w:w="12240" w:h="15840"/>
          <w:pgMar w:top="720" w:right="720" w:bottom="720" w:left="1080" w:header="270" w:footer="270" w:gutter="0"/>
          <w:cols w:space="708"/>
        </w:sect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63"/>
        <w:gridCol w:w="699"/>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59BFAAD0"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58A1FEFA" w14:textId="77777777" w:rsidR="00D0338B" w:rsidRDefault="00DB7EA0">
            <w:pPr>
              <w:keepNext/>
              <w:spacing w:before="53" w:after="30"/>
            </w:pPr>
            <w:r>
              <w:rPr>
                <w:rFonts w:ascii="Arial" w:eastAsia="Arial" w:hAnsi="Arial" w:cs="Arial"/>
                <w:b/>
                <w:color w:val="000000"/>
                <w:sz w:val="20"/>
              </w:rPr>
              <w:lastRenderedPageBreak/>
              <w:t>Reconciliation of Segment Reported Earnings to Earnings from Ongoing Operations</w:t>
            </w:r>
          </w:p>
        </w:tc>
      </w:tr>
      <w:tr w:rsidR="00D0338B" w14:paraId="5490E127"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2908E048" w14:textId="77777777" w:rsidR="00D0338B" w:rsidRDefault="00DB7EA0">
            <w:pPr>
              <w:keepNext/>
              <w:spacing w:before="53" w:after="30"/>
            </w:pPr>
            <w:r>
              <w:rPr>
                <w:rFonts w:ascii="Arial" w:eastAsia="Arial" w:hAnsi="Arial" w:cs="Arial"/>
                <w:b/>
                <w:color w:val="000000"/>
                <w:sz w:val="20"/>
              </w:rPr>
              <w:t>(After-Tax)</w:t>
            </w:r>
          </w:p>
        </w:tc>
      </w:tr>
      <w:tr w:rsidR="00D0338B" w14:paraId="73FE9BED" w14:textId="77777777">
        <w:trPr>
          <w:cantSplit/>
          <w:trHeight w:hRule="exact" w:val="300"/>
          <w:jc w:val="center"/>
        </w:trPr>
        <w:tc>
          <w:tcPr>
            <w:tcW w:w="10260" w:type="dxa"/>
            <w:gridSpan w:val="20"/>
            <w:tcBorders>
              <w:top w:val="nil"/>
              <w:left w:val="nil"/>
              <w:bottom w:val="nil"/>
              <w:right w:val="nil"/>
            </w:tcBorders>
            <w:tcMar>
              <w:top w:w="0" w:type="dxa"/>
              <w:left w:w="53" w:type="dxa"/>
              <w:bottom w:w="0" w:type="dxa"/>
              <w:right w:w="53" w:type="dxa"/>
            </w:tcMar>
            <w:vAlign w:val="bottom"/>
          </w:tcPr>
          <w:p w14:paraId="551A7B72" w14:textId="77777777" w:rsidR="00D0338B" w:rsidRDefault="00DB7EA0">
            <w:pPr>
              <w:keepNext/>
              <w:spacing w:before="53" w:after="30"/>
            </w:pPr>
            <w:r>
              <w:rPr>
                <w:rFonts w:ascii="Arial" w:eastAsia="Arial" w:hAnsi="Arial" w:cs="Arial"/>
                <w:b/>
                <w:color w:val="000000"/>
                <w:sz w:val="20"/>
              </w:rPr>
              <w:t>(Unaudited)</w:t>
            </w:r>
          </w:p>
        </w:tc>
      </w:tr>
      <w:tr w:rsidR="00D0338B" w14:paraId="51CCA5D1" w14:textId="77777777">
        <w:trPr>
          <w:cantSplit/>
          <w:trHeight w:hRule="exact" w:val="300"/>
          <w:jc w:val="center"/>
        </w:trPr>
        <w:tc>
          <w:tcPr>
            <w:tcW w:w="5235" w:type="dxa"/>
            <w:tcBorders>
              <w:top w:val="nil"/>
              <w:left w:val="nil"/>
              <w:bottom w:val="nil"/>
              <w:right w:val="nil"/>
            </w:tcBorders>
            <w:tcMar>
              <w:top w:w="0" w:type="dxa"/>
              <w:left w:w="0" w:type="dxa"/>
              <w:bottom w:w="0" w:type="dxa"/>
              <w:right w:w="0" w:type="dxa"/>
            </w:tcMar>
            <w:vAlign w:val="bottom"/>
          </w:tcPr>
          <w:p w14:paraId="09B0D94C"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608CF85F"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1B214475"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664BFE37"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0C646949"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0327DF2E"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2BA98A08"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22210FBB" w14:textId="77777777" w:rsidR="00D0338B" w:rsidRDefault="00D0338B">
            <w:pPr>
              <w:keepNext/>
            </w:pPr>
          </w:p>
        </w:tc>
        <w:tc>
          <w:tcPr>
            <w:tcW w:w="75" w:type="dxa"/>
            <w:tcBorders>
              <w:top w:val="nil"/>
              <w:left w:val="nil"/>
              <w:bottom w:val="nil"/>
              <w:right w:val="nil"/>
            </w:tcBorders>
            <w:tcMar>
              <w:top w:w="0" w:type="dxa"/>
              <w:left w:w="0" w:type="dxa"/>
              <w:bottom w:w="0" w:type="dxa"/>
              <w:right w:w="0" w:type="dxa"/>
            </w:tcMar>
            <w:vAlign w:val="bottom"/>
          </w:tcPr>
          <w:p w14:paraId="6965339A" w14:textId="77777777" w:rsidR="00D0338B" w:rsidRDefault="00D0338B">
            <w:pPr>
              <w:keepNext/>
            </w:pPr>
          </w:p>
        </w:tc>
        <w:tc>
          <w:tcPr>
            <w:tcW w:w="945" w:type="dxa"/>
            <w:gridSpan w:val="3"/>
            <w:tcBorders>
              <w:top w:val="nil"/>
              <w:left w:val="nil"/>
              <w:bottom w:val="nil"/>
              <w:right w:val="nil"/>
            </w:tcBorders>
            <w:tcMar>
              <w:top w:w="0" w:type="dxa"/>
              <w:left w:w="0" w:type="dxa"/>
              <w:bottom w:w="0" w:type="dxa"/>
              <w:right w:w="0" w:type="dxa"/>
            </w:tcMar>
            <w:vAlign w:val="bottom"/>
          </w:tcPr>
          <w:p w14:paraId="6A797D66" w14:textId="77777777" w:rsidR="00D0338B" w:rsidRDefault="00D0338B">
            <w:pPr>
              <w:keepNext/>
            </w:pPr>
          </w:p>
        </w:tc>
      </w:tr>
      <w:tr w:rsidR="00D0338B" w14:paraId="3B5A453B" w14:textId="77777777">
        <w:trPr>
          <w:cantSplit/>
          <w:trHeight w:hRule="exact" w:val="255"/>
          <w:jc w:val="center"/>
        </w:trPr>
        <w:tc>
          <w:tcPr>
            <w:tcW w:w="5235" w:type="dxa"/>
            <w:tcBorders>
              <w:top w:val="nil"/>
              <w:left w:val="nil"/>
              <w:bottom w:val="nil"/>
              <w:right w:val="nil"/>
            </w:tcBorders>
            <w:tcMar>
              <w:top w:w="0" w:type="dxa"/>
              <w:left w:w="53" w:type="dxa"/>
              <w:bottom w:w="0" w:type="dxa"/>
              <w:right w:w="53" w:type="dxa"/>
            </w:tcMar>
            <w:vAlign w:val="bottom"/>
          </w:tcPr>
          <w:p w14:paraId="3302351E" w14:textId="77777777" w:rsidR="00D0338B" w:rsidRDefault="00DB7EA0">
            <w:pPr>
              <w:keepNext/>
              <w:spacing w:before="53" w:after="30"/>
            </w:pPr>
            <w:r>
              <w:rPr>
                <w:rFonts w:ascii="Arial" w:eastAsia="Arial" w:hAnsi="Arial" w:cs="Arial"/>
                <w:color w:val="000000"/>
                <w:sz w:val="16"/>
              </w:rPr>
              <w:t>Year-to-Date December 31, 2019</w:t>
            </w:r>
          </w:p>
        </w:tc>
        <w:tc>
          <w:tcPr>
            <w:tcW w:w="5025" w:type="dxa"/>
            <w:gridSpan w:val="19"/>
            <w:tcBorders>
              <w:top w:val="nil"/>
              <w:left w:val="nil"/>
              <w:bottom w:val="single" w:sz="8" w:space="0" w:color="000000"/>
              <w:right w:val="nil"/>
            </w:tcBorders>
            <w:tcMar>
              <w:top w:w="0" w:type="dxa"/>
              <w:left w:w="53" w:type="dxa"/>
              <w:bottom w:w="0" w:type="dxa"/>
              <w:right w:w="53" w:type="dxa"/>
            </w:tcMar>
            <w:vAlign w:val="bottom"/>
          </w:tcPr>
          <w:p w14:paraId="76BC92D7" w14:textId="77777777" w:rsidR="00D0338B" w:rsidRDefault="00DB7EA0">
            <w:pPr>
              <w:keepNext/>
              <w:spacing w:before="53" w:after="30"/>
              <w:jc w:val="center"/>
            </w:pPr>
            <w:r>
              <w:rPr>
                <w:rFonts w:ascii="Arial" w:eastAsia="Arial" w:hAnsi="Arial" w:cs="Arial"/>
                <w:color w:val="000000"/>
                <w:sz w:val="16"/>
              </w:rPr>
              <w:t>(millions of dollars)</w:t>
            </w:r>
          </w:p>
        </w:tc>
      </w:tr>
      <w:tr w:rsidR="00D0338B" w14:paraId="2B632B28"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111EBD7B" w14:textId="77777777" w:rsidR="00D0338B" w:rsidRDefault="00D0338B">
            <w:pPr>
              <w:keepNext/>
            </w:pPr>
          </w:p>
        </w:tc>
        <w:tc>
          <w:tcPr>
            <w:tcW w:w="945" w:type="dxa"/>
            <w:gridSpan w:val="3"/>
            <w:tcBorders>
              <w:top w:val="nil"/>
              <w:left w:val="nil"/>
              <w:bottom w:val="nil"/>
              <w:right w:val="nil"/>
            </w:tcBorders>
            <w:tcMar>
              <w:top w:w="0" w:type="dxa"/>
              <w:left w:w="53" w:type="dxa"/>
              <w:bottom w:w="0" w:type="dxa"/>
              <w:right w:w="53" w:type="dxa"/>
            </w:tcMar>
            <w:vAlign w:val="bottom"/>
          </w:tcPr>
          <w:p w14:paraId="6357D160"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B084AD5"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482BA9FD"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E253C3B"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05847DCD"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6DAD732"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547E7C12"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36A8F64"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7A0BA26D" w14:textId="77777777" w:rsidR="00D0338B" w:rsidRDefault="00D0338B">
            <w:pPr>
              <w:keepNext/>
            </w:pPr>
          </w:p>
        </w:tc>
      </w:tr>
      <w:tr w:rsidR="00D0338B" w14:paraId="4ADA8D39"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167B653E"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16E7A87C"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50374FEC"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7501F762"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77C64F5"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2A39FCAC"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0D9F1B05"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2BDC3BB3"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3AEB144D"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67769261"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29A591FA"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3D689275" w14:textId="77777777" w:rsidR="00D0338B" w:rsidRDefault="00DB7EA0">
            <w:pPr>
              <w:keepNext/>
              <w:spacing w:before="53" w:after="30"/>
              <w:outlineLvl w:val="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FC768AB"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00763FA" w14:textId="77777777" w:rsidR="00D0338B" w:rsidRDefault="00DB7EA0">
            <w:pPr>
              <w:keepNext/>
              <w:spacing w:before="33" w:after="30"/>
              <w:jc w:val="right"/>
            </w:pPr>
            <w:r>
              <w:rPr>
                <w:rFonts w:ascii="Arial" w:eastAsia="Arial" w:hAnsi="Arial" w:cs="Arial"/>
                <w:color w:val="000000"/>
                <w:sz w:val="16"/>
              </w:rPr>
              <w:t>977 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935166"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A69F42"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F385B5A"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0156442" w14:textId="77777777" w:rsidR="00D0338B" w:rsidRDefault="00DB7EA0">
            <w:pPr>
              <w:keepNext/>
              <w:spacing w:before="33" w:after="30"/>
              <w:jc w:val="right"/>
            </w:pPr>
            <w:r>
              <w:rPr>
                <w:rFonts w:ascii="Arial" w:eastAsia="Arial" w:hAnsi="Arial" w:cs="Arial"/>
                <w:color w:val="000000"/>
                <w:sz w:val="16"/>
              </w:rPr>
              <w:t>436 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FB42CA3"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216260"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1C7CBC7"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8E14F0A" w14:textId="77777777" w:rsidR="00D0338B" w:rsidRDefault="00DB7EA0">
            <w:pPr>
              <w:keepNext/>
              <w:spacing w:before="33" w:after="30"/>
              <w:jc w:val="right"/>
            </w:pPr>
            <w:r>
              <w:rPr>
                <w:rFonts w:ascii="Arial" w:eastAsia="Arial" w:hAnsi="Arial" w:cs="Arial"/>
                <w:color w:val="000000"/>
                <w:sz w:val="16"/>
              </w:rPr>
              <w:t>458 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A1D985"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22A792"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E83673A"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21BF816" w14:textId="77777777" w:rsidR="00D0338B" w:rsidRDefault="00DB7EA0">
            <w:pPr>
              <w:keepNext/>
              <w:spacing w:before="33" w:after="30"/>
              <w:jc w:val="right"/>
            </w:pPr>
            <w:r>
              <w:rPr>
                <w:rFonts w:ascii="Arial" w:eastAsia="Arial" w:hAnsi="Arial" w:cs="Arial"/>
                <w:color w:val="000000"/>
                <w:sz w:val="16"/>
              </w:rPr>
              <w:t>(125)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609199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26A4A6"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3873E07"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66352F1" w14:textId="77777777" w:rsidR="00D0338B" w:rsidRDefault="00DB7EA0">
            <w:pPr>
              <w:keepNext/>
              <w:spacing w:before="33" w:after="30"/>
              <w:jc w:val="right"/>
            </w:pPr>
            <w:r>
              <w:rPr>
                <w:rFonts w:ascii="Arial" w:eastAsia="Arial" w:hAnsi="Arial" w:cs="Arial"/>
                <w:color w:val="000000"/>
                <w:sz w:val="16"/>
              </w:rPr>
              <w:t>1,746 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B71D92F" w14:textId="77777777" w:rsidR="00D0338B" w:rsidRDefault="00D0338B">
            <w:pPr>
              <w:keepNext/>
              <w:spacing w:before="33" w:after="30"/>
              <w:jc w:val="right"/>
            </w:pPr>
          </w:p>
        </w:tc>
      </w:tr>
      <w:tr w:rsidR="00D0338B" w14:paraId="132A6261"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4FDDFC9C" w14:textId="77777777" w:rsidR="00D0338B" w:rsidRDefault="00DB7EA0">
            <w:pPr>
              <w:keepNext/>
              <w:spacing w:before="53" w:after="30"/>
            </w:pPr>
            <w:r>
              <w:rPr>
                <w:rFonts w:ascii="Arial" w:eastAsia="Arial" w:hAnsi="Arial" w:cs="Arial"/>
                <w:color w:val="000000"/>
                <w:sz w:val="16"/>
              </w:rPr>
              <w:t>Less: Special Items (expense) benefit:</w:t>
            </w: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1230CFE1"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A3B118"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3CDD510"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739DA8"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3073FD84"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D16F5E"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39AA4EC0"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9C0147"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5CE9DF5A" w14:textId="77777777" w:rsidR="00D0338B" w:rsidRDefault="00D0338B">
            <w:pPr>
              <w:keepNext/>
            </w:pPr>
          </w:p>
        </w:tc>
      </w:tr>
      <w:tr w:rsidR="00D0338B" w14:paraId="4444448B"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5C0CDF2E" w14:textId="77777777" w:rsidR="00D0338B" w:rsidRDefault="00DB7EA0">
            <w:pPr>
              <w:keepNext/>
              <w:spacing w:before="53" w:after="30"/>
            </w:pPr>
            <w:r>
              <w:rPr>
                <w:rFonts w:ascii="Arial" w:eastAsia="Arial" w:hAnsi="Arial" w:cs="Arial"/>
                <w:color w:val="000000"/>
                <w:sz w:val="16"/>
              </w:rPr>
              <w:t>Foreign currency economic hedges, net of tax of $13</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4DACD89" w14:textId="77777777" w:rsidR="00D0338B" w:rsidRDefault="00DB7EA0">
            <w:pPr>
              <w:keepNext/>
              <w:spacing w:before="53" w:after="30"/>
              <w:jc w:val="right"/>
            </w:pPr>
            <w:r>
              <w:rPr>
                <w:rFonts w:ascii="Arial" w:eastAsia="Arial" w:hAnsi="Arial" w:cs="Arial"/>
                <w:color w:val="000000"/>
                <w:sz w:val="16"/>
              </w:rPr>
              <w:t>(51)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90BFB35"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B0CC3D"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8980B8A"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FF7CA2"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5D21FA" w14:textId="77777777" w:rsidR="00D0338B" w:rsidRDefault="00D0338B">
            <w:pPr>
              <w:keepNext/>
            </w:pPr>
          </w:p>
        </w:tc>
        <w:tc>
          <w:tcPr>
            <w:tcW w:w="945" w:type="dxa"/>
            <w:gridSpan w:val="3"/>
            <w:tcBorders>
              <w:top w:val="nil"/>
              <w:left w:val="nil"/>
              <w:bottom w:val="nil"/>
              <w:right w:val="nil"/>
            </w:tcBorders>
            <w:shd w:val="clear" w:color="auto" w:fill="CCEEFF"/>
            <w:tcMar>
              <w:top w:w="0" w:type="dxa"/>
              <w:left w:w="53" w:type="dxa"/>
              <w:bottom w:w="0" w:type="dxa"/>
              <w:right w:w="15" w:type="dxa"/>
            </w:tcMar>
            <w:vAlign w:val="bottom"/>
          </w:tcPr>
          <w:p w14:paraId="36ED4678"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B52A7B"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C2B9611"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28B46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9EF13F"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0799DF86" w14:textId="77777777" w:rsidR="00D0338B" w:rsidRDefault="00DB7EA0">
            <w:pPr>
              <w:keepNext/>
              <w:spacing w:before="53" w:after="30"/>
              <w:jc w:val="right"/>
            </w:pPr>
            <w:r>
              <w:rPr>
                <w:rFonts w:ascii="Arial" w:eastAsia="Arial" w:hAnsi="Arial" w:cs="Arial"/>
                <w:color w:val="000000"/>
                <w:sz w:val="16"/>
              </w:rPr>
              <w:t>(51)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520BECB" w14:textId="77777777" w:rsidR="00D0338B" w:rsidRDefault="00D0338B">
            <w:pPr>
              <w:keepNext/>
              <w:spacing w:before="53" w:after="30"/>
              <w:jc w:val="right"/>
            </w:pPr>
          </w:p>
        </w:tc>
      </w:tr>
      <w:tr w:rsidR="00D0338B" w14:paraId="1968065D"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0A065753" w14:textId="77777777" w:rsidR="00D0338B" w:rsidRDefault="00DB7EA0">
            <w:pPr>
              <w:keepNext/>
              <w:spacing w:before="53" w:after="30"/>
            </w:pPr>
            <w:r>
              <w:rPr>
                <w:rFonts w:ascii="Arial" w:eastAsia="Arial" w:hAnsi="Arial" w:cs="Arial"/>
                <w:color w:val="000000"/>
                <w:sz w:val="16"/>
              </w:rPr>
              <w:t>Talen litigation costs, net of tax of $1</w:t>
            </w: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3050C1ED"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52C7279"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304979"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87F85A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37BB5F"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1C2BF0"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7BCE7CE9"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9AF7F9"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27D2B7"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69CB865A" w14:textId="77777777" w:rsidR="00D0338B" w:rsidRDefault="00DB7EA0">
            <w:pPr>
              <w:keepNext/>
              <w:spacing w:before="53" w:after="30"/>
              <w:jc w:val="right"/>
            </w:pPr>
            <w:r>
              <w:rPr>
                <w:rFonts w:ascii="Arial" w:eastAsia="Arial" w:hAnsi="Arial" w:cs="Arial"/>
                <w:color w:val="000000"/>
                <w:sz w:val="16"/>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FEE1CA9"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CE63CD"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04D7723D" w14:textId="77777777" w:rsidR="00D0338B" w:rsidRDefault="00DB7EA0">
            <w:pPr>
              <w:keepNext/>
              <w:spacing w:before="53" w:after="30"/>
              <w:jc w:val="right"/>
            </w:pPr>
            <w:r>
              <w:rPr>
                <w:rFonts w:ascii="Arial" w:eastAsia="Arial" w:hAnsi="Arial" w:cs="Arial"/>
                <w:color w:val="000000"/>
                <w:sz w:val="16"/>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463B91" w14:textId="77777777" w:rsidR="00D0338B" w:rsidRDefault="00D0338B">
            <w:pPr>
              <w:keepNext/>
              <w:spacing w:before="53" w:after="30"/>
              <w:jc w:val="right"/>
            </w:pPr>
          </w:p>
        </w:tc>
      </w:tr>
      <w:tr w:rsidR="00D0338B" w14:paraId="61BF0CF9"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46C8EBB6" w14:textId="77777777" w:rsidR="00D0338B" w:rsidRDefault="00DB7EA0">
            <w:pPr>
              <w:keepNext/>
              <w:spacing w:before="53" w:after="30"/>
            </w:pPr>
            <w:r>
              <w:rPr>
                <w:rFonts w:ascii="Arial" w:eastAsia="Arial" w:hAnsi="Arial" w:cs="Arial"/>
                <w:color w:val="000000"/>
                <w:sz w:val="16"/>
              </w:rPr>
              <w:t>Other, net of tax of $1</w:t>
            </w: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25077B5D" w14:textId="77777777" w:rsidR="00D0338B" w:rsidRDefault="00DB7EA0">
            <w:pPr>
              <w:keepNext/>
              <w:spacing w:before="53" w:after="30"/>
              <w:jc w:val="right"/>
            </w:pPr>
            <w:r>
              <w:rPr>
                <w:rFonts w:ascii="Arial" w:eastAsia="Arial" w:hAnsi="Arial" w:cs="Arial"/>
                <w:color w:val="000000"/>
                <w:sz w:val="16"/>
              </w:rPr>
              <w:t>(4)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1454E3"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09417C"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C2214A6"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7F2601"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E1DE64"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E1D56B3"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6940FF5"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34F874"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02C5ACC"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0A42A17"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EF7000"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60A879F4" w14:textId="77777777" w:rsidR="00D0338B" w:rsidRDefault="00DB7EA0">
            <w:pPr>
              <w:keepNext/>
              <w:spacing w:before="53" w:after="30"/>
              <w:jc w:val="right"/>
            </w:pPr>
            <w:r>
              <w:rPr>
                <w:rFonts w:ascii="Arial" w:eastAsia="Arial" w:hAnsi="Arial" w:cs="Arial"/>
                <w:color w:val="000000"/>
                <w:sz w:val="16"/>
              </w:rPr>
              <w:t>(4)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5B75B2" w14:textId="77777777" w:rsidR="00D0338B" w:rsidRDefault="00D0338B">
            <w:pPr>
              <w:keepNext/>
              <w:spacing w:before="53" w:after="30"/>
              <w:jc w:val="right"/>
            </w:pPr>
          </w:p>
        </w:tc>
      </w:tr>
      <w:tr w:rsidR="00D0338B" w14:paraId="23185488"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79618817" w14:textId="77777777" w:rsidR="00D0338B" w:rsidRDefault="00DB7EA0">
            <w:pPr>
              <w:keepNext/>
              <w:spacing w:before="53" w:after="30"/>
            </w:pPr>
            <w:r>
              <w:rPr>
                <w:rFonts w:ascii="Arial" w:eastAsia="Arial" w:hAnsi="Arial" w:cs="Arial"/>
                <w:b/>
                <w:color w:val="000000"/>
                <w:sz w:val="16"/>
              </w:rPr>
              <w:t xml:space="preserve">Total Special Items </w:t>
            </w: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DAEE02E" w14:textId="77777777" w:rsidR="00D0338B" w:rsidRDefault="00DB7EA0">
            <w:pPr>
              <w:keepNext/>
              <w:spacing w:before="33" w:after="30"/>
              <w:jc w:val="right"/>
            </w:pPr>
            <w:r>
              <w:rPr>
                <w:rFonts w:ascii="Arial" w:eastAsia="Arial" w:hAnsi="Arial" w:cs="Arial"/>
                <w:color w:val="000000"/>
                <w:sz w:val="16"/>
              </w:rPr>
              <w:t>(55)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8DB0813"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D17FB0"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11C8B63"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F1BFF99"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2977FC"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1ECD6F6"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5FF8218"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2EADAF"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7C9D9AE" w14:textId="77777777" w:rsidR="00D0338B" w:rsidRDefault="00DB7EA0">
            <w:pPr>
              <w:keepNext/>
              <w:spacing w:before="33" w:after="30"/>
              <w:jc w:val="right"/>
            </w:pPr>
            <w:r>
              <w:rPr>
                <w:rFonts w:ascii="Arial" w:eastAsia="Arial" w:hAnsi="Arial" w:cs="Arial"/>
                <w:color w:val="000000"/>
                <w:sz w:val="16"/>
              </w:rPr>
              <w:t>(5)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5B0D083"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3C0570"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8A956FB" w14:textId="77777777" w:rsidR="00D0338B" w:rsidRDefault="00DB7EA0">
            <w:pPr>
              <w:keepNext/>
              <w:spacing w:before="33" w:after="30"/>
              <w:jc w:val="right"/>
            </w:pPr>
            <w:r>
              <w:rPr>
                <w:rFonts w:ascii="Arial" w:eastAsia="Arial" w:hAnsi="Arial" w:cs="Arial"/>
                <w:color w:val="000000"/>
                <w:sz w:val="16"/>
              </w:rPr>
              <w:t>(60)</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37AA4FD" w14:textId="77777777" w:rsidR="00D0338B" w:rsidRDefault="00D0338B">
            <w:pPr>
              <w:keepNext/>
              <w:spacing w:before="33" w:after="30"/>
              <w:jc w:val="right"/>
            </w:pPr>
          </w:p>
        </w:tc>
      </w:tr>
      <w:tr w:rsidR="00D0338B" w14:paraId="08BB2F60"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776F97FB" w14:textId="77777777" w:rsidR="00D0338B" w:rsidRDefault="00DB7EA0">
            <w:pPr>
              <w:keepNext/>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F266954"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FA379C8" w14:textId="77777777" w:rsidR="00D0338B" w:rsidRDefault="00DB7EA0">
            <w:pPr>
              <w:keepNext/>
              <w:spacing w:before="33" w:after="30"/>
              <w:jc w:val="right"/>
            </w:pPr>
            <w:r>
              <w:rPr>
                <w:rFonts w:ascii="Arial" w:eastAsia="Arial" w:hAnsi="Arial" w:cs="Arial"/>
                <w:color w:val="000000"/>
                <w:sz w:val="16"/>
              </w:rPr>
              <w:t>1,032 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D83C552"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35C88F"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15BF3C2"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FA34333" w14:textId="77777777" w:rsidR="00D0338B" w:rsidRDefault="00DB7EA0">
            <w:pPr>
              <w:keepNext/>
              <w:spacing w:before="33" w:after="30"/>
              <w:jc w:val="right"/>
            </w:pPr>
            <w:r>
              <w:rPr>
                <w:rFonts w:ascii="Arial" w:eastAsia="Arial" w:hAnsi="Arial" w:cs="Arial"/>
                <w:color w:val="000000"/>
                <w:sz w:val="16"/>
              </w:rPr>
              <w:t>436 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555E0AE"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99554C"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769EF2B"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609250D" w14:textId="77777777" w:rsidR="00D0338B" w:rsidRDefault="00DB7EA0">
            <w:pPr>
              <w:keepNext/>
              <w:spacing w:before="33" w:after="30"/>
              <w:jc w:val="right"/>
            </w:pPr>
            <w:r>
              <w:rPr>
                <w:rFonts w:ascii="Arial" w:eastAsia="Arial" w:hAnsi="Arial" w:cs="Arial"/>
                <w:color w:val="000000"/>
                <w:sz w:val="16"/>
              </w:rPr>
              <w:t>458 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7DF5B28"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B8FC0D"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9AA557E"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69E8349" w14:textId="77777777" w:rsidR="00D0338B" w:rsidRDefault="00DB7EA0">
            <w:pPr>
              <w:keepNext/>
              <w:spacing w:before="33" w:after="30"/>
              <w:jc w:val="right"/>
            </w:pPr>
            <w:r>
              <w:rPr>
                <w:rFonts w:ascii="Arial" w:eastAsia="Arial" w:hAnsi="Arial" w:cs="Arial"/>
                <w:color w:val="000000"/>
                <w:sz w:val="16"/>
              </w:rPr>
              <w:t>(120)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A1F706B"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289E19" w14:textId="77777777" w:rsidR="00D0338B" w:rsidRDefault="00D0338B">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8460E21"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298FB28" w14:textId="77777777" w:rsidR="00D0338B" w:rsidRDefault="00DB7EA0">
            <w:pPr>
              <w:keepNext/>
              <w:spacing w:before="33" w:after="30"/>
              <w:jc w:val="right"/>
            </w:pPr>
            <w:r>
              <w:rPr>
                <w:rFonts w:ascii="Arial" w:eastAsia="Arial" w:hAnsi="Arial" w:cs="Arial"/>
                <w:color w:val="000000"/>
                <w:sz w:val="16"/>
              </w:rPr>
              <w:t>1,806 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1E7E7FA" w14:textId="77777777" w:rsidR="00D0338B" w:rsidRDefault="00D0338B">
            <w:pPr>
              <w:keepNext/>
              <w:spacing w:before="33" w:after="30"/>
              <w:jc w:val="right"/>
            </w:pPr>
          </w:p>
        </w:tc>
      </w:tr>
      <w:tr w:rsidR="00D0338B" w14:paraId="5F337BF6"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10152947"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16DD5380"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43D90CA6"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78C70A27"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06DD6FCF"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78171291"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283031A0"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5BEC7ECC" w14:textId="77777777" w:rsidR="00D0338B" w:rsidRDefault="00D0338B"/>
        </w:tc>
        <w:tc>
          <w:tcPr>
            <w:tcW w:w="75" w:type="dxa"/>
            <w:tcBorders>
              <w:top w:val="nil"/>
              <w:left w:val="nil"/>
              <w:bottom w:val="nil"/>
              <w:right w:val="nil"/>
            </w:tcBorders>
            <w:tcMar>
              <w:top w:w="0" w:type="dxa"/>
              <w:left w:w="0" w:type="dxa"/>
              <w:bottom w:w="0" w:type="dxa"/>
              <w:right w:w="0" w:type="dxa"/>
            </w:tcMar>
            <w:vAlign w:val="bottom"/>
          </w:tcPr>
          <w:p w14:paraId="1AC93061" w14:textId="77777777" w:rsidR="00D0338B" w:rsidRDefault="00D0338B"/>
        </w:tc>
        <w:tc>
          <w:tcPr>
            <w:tcW w:w="945" w:type="dxa"/>
            <w:gridSpan w:val="3"/>
            <w:tcBorders>
              <w:top w:val="double" w:sz="8" w:space="0" w:color="000000"/>
              <w:left w:val="nil"/>
              <w:bottom w:val="nil"/>
              <w:right w:val="nil"/>
            </w:tcBorders>
            <w:tcMar>
              <w:top w:w="0" w:type="dxa"/>
              <w:left w:w="0" w:type="dxa"/>
              <w:bottom w:w="0" w:type="dxa"/>
              <w:right w:w="0" w:type="dxa"/>
            </w:tcMar>
            <w:vAlign w:val="bottom"/>
          </w:tcPr>
          <w:p w14:paraId="3351ABAB" w14:textId="77777777" w:rsidR="00D0338B" w:rsidRDefault="00D0338B"/>
        </w:tc>
      </w:tr>
    </w:tbl>
    <w:p w14:paraId="55277916" w14:textId="77777777" w:rsidR="00D0338B" w:rsidRDefault="00D0338B">
      <w:pPr>
        <w:spacing w:after="100"/>
        <w:rPr>
          <w:sz w:val="10"/>
        </w:rPr>
      </w:pPr>
      <w:bookmarkStart w:id="9" w:name="Section10"/>
      <w:bookmarkEnd w:id="9"/>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164"/>
        <w:gridCol w:w="714"/>
        <w:gridCol w:w="102"/>
        <w:gridCol w:w="76"/>
        <w:gridCol w:w="163"/>
        <w:gridCol w:w="699"/>
        <w:gridCol w:w="102"/>
        <w:gridCol w:w="76"/>
        <w:gridCol w:w="163"/>
        <w:gridCol w:w="699"/>
        <w:gridCol w:w="102"/>
        <w:gridCol w:w="76"/>
        <w:gridCol w:w="163"/>
        <w:gridCol w:w="699"/>
        <w:gridCol w:w="102"/>
        <w:gridCol w:w="76"/>
        <w:gridCol w:w="163"/>
        <w:gridCol w:w="699"/>
        <w:gridCol w:w="102"/>
      </w:tblGrid>
      <w:tr w:rsidR="00D0338B" w14:paraId="409995BC"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665D3055" w14:textId="77777777" w:rsidR="00D0338B" w:rsidRDefault="00D0338B">
            <w:pPr>
              <w:keepNext/>
            </w:pPr>
          </w:p>
        </w:tc>
        <w:tc>
          <w:tcPr>
            <w:tcW w:w="5040" w:type="dxa"/>
            <w:gridSpan w:val="19"/>
            <w:tcBorders>
              <w:top w:val="nil"/>
              <w:left w:val="nil"/>
              <w:bottom w:val="single" w:sz="8" w:space="0" w:color="000000"/>
              <w:right w:val="nil"/>
            </w:tcBorders>
            <w:tcMar>
              <w:top w:w="0" w:type="dxa"/>
              <w:left w:w="53" w:type="dxa"/>
              <w:bottom w:w="0" w:type="dxa"/>
              <w:right w:w="53" w:type="dxa"/>
            </w:tcMar>
            <w:vAlign w:val="bottom"/>
          </w:tcPr>
          <w:p w14:paraId="201429F0" w14:textId="77777777" w:rsidR="00D0338B" w:rsidRDefault="00DB7EA0">
            <w:pPr>
              <w:keepNext/>
              <w:spacing w:before="53" w:after="30"/>
              <w:jc w:val="center"/>
            </w:pPr>
            <w:r>
              <w:rPr>
                <w:rFonts w:ascii="Arial" w:eastAsia="Arial" w:hAnsi="Arial" w:cs="Arial"/>
                <w:color w:val="000000"/>
                <w:sz w:val="16"/>
              </w:rPr>
              <w:t>(per share - diluted)</w:t>
            </w:r>
          </w:p>
        </w:tc>
      </w:tr>
      <w:tr w:rsidR="00D0338B" w14:paraId="6D10D286"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5F1213F4" w14:textId="77777777" w:rsidR="00D0338B" w:rsidRDefault="00D0338B">
            <w:pPr>
              <w:keepNext/>
            </w:pPr>
          </w:p>
        </w:tc>
        <w:tc>
          <w:tcPr>
            <w:tcW w:w="960" w:type="dxa"/>
            <w:gridSpan w:val="3"/>
            <w:tcBorders>
              <w:top w:val="nil"/>
              <w:left w:val="nil"/>
              <w:bottom w:val="nil"/>
              <w:right w:val="nil"/>
            </w:tcBorders>
            <w:tcMar>
              <w:top w:w="0" w:type="dxa"/>
              <w:left w:w="53" w:type="dxa"/>
              <w:bottom w:w="0" w:type="dxa"/>
              <w:right w:w="53" w:type="dxa"/>
            </w:tcMar>
            <w:vAlign w:val="bottom"/>
          </w:tcPr>
          <w:p w14:paraId="53945C7E" w14:textId="77777777" w:rsidR="00D0338B" w:rsidRDefault="00DB7EA0">
            <w:pPr>
              <w:keepNext/>
              <w:spacing w:before="33" w:after="30"/>
              <w:jc w:val="center"/>
            </w:pPr>
            <w:r>
              <w:rPr>
                <w:rFonts w:ascii="Arial" w:eastAsia="Arial" w:hAnsi="Arial" w:cs="Arial"/>
                <w:color w:val="000000"/>
                <w:sz w:val="16"/>
              </w:rPr>
              <w:t xml:space="preserve"> U.K.</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DAD3A57"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79A4235F" w14:textId="77777777" w:rsidR="00D0338B" w:rsidRDefault="00DB7EA0">
            <w:pPr>
              <w:keepNext/>
              <w:spacing w:before="33" w:after="30"/>
              <w:jc w:val="center"/>
            </w:pPr>
            <w:r>
              <w:rPr>
                <w:rFonts w:ascii="Arial" w:eastAsia="Arial" w:hAnsi="Arial" w:cs="Arial"/>
                <w:color w:val="000000"/>
                <w:sz w:val="16"/>
              </w:rPr>
              <w:t xml:space="preserve"> KY</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8EDF8D0"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4C6EFC6F" w14:textId="77777777" w:rsidR="00D0338B" w:rsidRDefault="00DB7EA0">
            <w:pPr>
              <w:keepNext/>
              <w:spacing w:before="33" w:after="30"/>
              <w:jc w:val="center"/>
            </w:pPr>
            <w:r>
              <w:rPr>
                <w:rFonts w:ascii="Arial" w:eastAsia="Arial" w:hAnsi="Arial" w:cs="Arial"/>
                <w:color w:val="000000"/>
                <w:sz w:val="16"/>
              </w:rPr>
              <w:t xml:space="preserve"> PA</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8D702FE" w14:textId="77777777" w:rsidR="00D0338B" w:rsidRDefault="00D0338B">
            <w:pPr>
              <w:keepNext/>
            </w:pPr>
          </w:p>
        </w:tc>
        <w:tc>
          <w:tcPr>
            <w:tcW w:w="945" w:type="dxa"/>
            <w:gridSpan w:val="3"/>
            <w:tcBorders>
              <w:top w:val="single" w:sz="8" w:space="0" w:color="000000"/>
              <w:left w:val="nil"/>
              <w:bottom w:val="nil"/>
              <w:right w:val="nil"/>
            </w:tcBorders>
            <w:tcMar>
              <w:top w:w="0" w:type="dxa"/>
              <w:left w:w="53" w:type="dxa"/>
              <w:bottom w:w="0" w:type="dxa"/>
              <w:right w:w="53" w:type="dxa"/>
            </w:tcMar>
            <w:vAlign w:val="bottom"/>
          </w:tcPr>
          <w:p w14:paraId="4B9AADDA" w14:textId="77777777" w:rsidR="00D0338B" w:rsidRDefault="00DB7EA0">
            <w:pPr>
              <w:keepNext/>
              <w:spacing w:before="33" w:after="30"/>
              <w:jc w:val="center"/>
            </w:pPr>
            <w:r>
              <w:rPr>
                <w:rFonts w:ascii="Arial" w:eastAsia="Arial" w:hAnsi="Arial" w:cs="Arial"/>
                <w:color w:val="000000"/>
                <w:sz w:val="16"/>
              </w:rPr>
              <w:t xml:space="preserve"> Corp.</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80C6D66" w14:textId="77777777" w:rsidR="00D0338B" w:rsidRDefault="00D0338B">
            <w:pPr>
              <w:keepNext/>
            </w:pPr>
          </w:p>
        </w:tc>
        <w:tc>
          <w:tcPr>
            <w:tcW w:w="945" w:type="dxa"/>
            <w:gridSpan w:val="3"/>
            <w:tcBorders>
              <w:top w:val="single" w:sz="8" w:space="0" w:color="000000"/>
              <w:left w:val="nil"/>
              <w:bottom w:val="nil"/>
              <w:right w:val="nil"/>
            </w:tcBorders>
            <w:tcMar>
              <w:top w:w="0" w:type="dxa"/>
              <w:left w:w="0" w:type="dxa"/>
              <w:bottom w:w="0" w:type="dxa"/>
              <w:right w:w="0" w:type="dxa"/>
            </w:tcMar>
            <w:vAlign w:val="bottom"/>
          </w:tcPr>
          <w:p w14:paraId="5FCD966E" w14:textId="77777777" w:rsidR="00D0338B" w:rsidRDefault="00D0338B">
            <w:pPr>
              <w:keepNext/>
            </w:pPr>
          </w:p>
        </w:tc>
      </w:tr>
      <w:tr w:rsidR="00D0338B" w14:paraId="6113FD22" w14:textId="77777777">
        <w:trPr>
          <w:cantSplit/>
          <w:trHeight w:hRule="exact" w:val="255"/>
          <w:jc w:val="center"/>
        </w:trPr>
        <w:tc>
          <w:tcPr>
            <w:tcW w:w="5235" w:type="dxa"/>
            <w:tcBorders>
              <w:top w:val="nil"/>
              <w:left w:val="nil"/>
              <w:bottom w:val="nil"/>
              <w:right w:val="nil"/>
            </w:tcBorders>
            <w:tcMar>
              <w:top w:w="0" w:type="dxa"/>
              <w:left w:w="0" w:type="dxa"/>
              <w:bottom w:w="0" w:type="dxa"/>
              <w:right w:w="0" w:type="dxa"/>
            </w:tcMar>
            <w:vAlign w:val="bottom"/>
          </w:tcPr>
          <w:p w14:paraId="39695358" w14:textId="77777777" w:rsidR="00D0338B" w:rsidRDefault="00D0338B">
            <w:pPr>
              <w:keepNext/>
            </w:pPr>
          </w:p>
        </w:tc>
        <w:tc>
          <w:tcPr>
            <w:tcW w:w="960" w:type="dxa"/>
            <w:gridSpan w:val="3"/>
            <w:tcBorders>
              <w:top w:val="nil"/>
              <w:left w:val="nil"/>
              <w:bottom w:val="single" w:sz="8" w:space="0" w:color="000000"/>
              <w:right w:val="nil"/>
            </w:tcBorders>
            <w:tcMar>
              <w:top w:w="0" w:type="dxa"/>
              <w:left w:w="53" w:type="dxa"/>
              <w:bottom w:w="0" w:type="dxa"/>
              <w:right w:w="53" w:type="dxa"/>
            </w:tcMar>
            <w:vAlign w:val="bottom"/>
          </w:tcPr>
          <w:p w14:paraId="18AF29C4"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12E21308"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0600D0AF"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68527495"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3E4F5C02" w14:textId="77777777" w:rsidR="00D0338B" w:rsidRDefault="00DB7EA0">
            <w:pPr>
              <w:keepNext/>
              <w:spacing w:before="53" w:after="30"/>
              <w:jc w:val="center"/>
            </w:pPr>
            <w:r>
              <w:rPr>
                <w:rFonts w:ascii="Arial" w:eastAsia="Arial" w:hAnsi="Arial" w:cs="Arial"/>
                <w:color w:val="000000"/>
                <w:sz w:val="16"/>
              </w:rPr>
              <w:t xml:space="preserve"> Reg.</w:t>
            </w:r>
          </w:p>
        </w:tc>
        <w:tc>
          <w:tcPr>
            <w:tcW w:w="75" w:type="dxa"/>
            <w:tcBorders>
              <w:top w:val="nil"/>
              <w:left w:val="nil"/>
              <w:bottom w:val="nil"/>
              <w:right w:val="nil"/>
            </w:tcBorders>
            <w:tcMar>
              <w:top w:w="0" w:type="dxa"/>
              <w:left w:w="0" w:type="dxa"/>
              <w:bottom w:w="0" w:type="dxa"/>
              <w:right w:w="0" w:type="dxa"/>
            </w:tcMar>
            <w:vAlign w:val="bottom"/>
          </w:tcPr>
          <w:p w14:paraId="05899771"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0A836DF2" w14:textId="77777777" w:rsidR="00D0338B" w:rsidRDefault="00DB7EA0">
            <w:pPr>
              <w:keepNext/>
              <w:spacing w:before="53" w:after="30"/>
              <w:jc w:val="center"/>
            </w:pPr>
            <w:r>
              <w:rPr>
                <w:rFonts w:ascii="Arial" w:eastAsia="Arial" w:hAnsi="Arial" w:cs="Arial"/>
                <w:color w:val="000000"/>
                <w:sz w:val="16"/>
              </w:rPr>
              <w:t xml:space="preserve"> &amp; Other</w:t>
            </w:r>
          </w:p>
        </w:tc>
        <w:tc>
          <w:tcPr>
            <w:tcW w:w="75" w:type="dxa"/>
            <w:tcBorders>
              <w:top w:val="nil"/>
              <w:left w:val="nil"/>
              <w:bottom w:val="nil"/>
              <w:right w:val="nil"/>
            </w:tcBorders>
            <w:tcMar>
              <w:top w:w="0" w:type="dxa"/>
              <w:left w:w="0" w:type="dxa"/>
              <w:bottom w:w="0" w:type="dxa"/>
              <w:right w:w="0" w:type="dxa"/>
            </w:tcMar>
            <w:vAlign w:val="bottom"/>
          </w:tcPr>
          <w:p w14:paraId="6F1D909D" w14:textId="77777777" w:rsidR="00D0338B" w:rsidRDefault="00D0338B">
            <w:pPr>
              <w:keepNext/>
            </w:pPr>
          </w:p>
        </w:tc>
        <w:tc>
          <w:tcPr>
            <w:tcW w:w="945" w:type="dxa"/>
            <w:gridSpan w:val="3"/>
            <w:tcBorders>
              <w:top w:val="nil"/>
              <w:left w:val="nil"/>
              <w:bottom w:val="single" w:sz="8" w:space="0" w:color="000000"/>
              <w:right w:val="nil"/>
            </w:tcBorders>
            <w:tcMar>
              <w:top w:w="0" w:type="dxa"/>
              <w:left w:w="53" w:type="dxa"/>
              <w:bottom w:w="0" w:type="dxa"/>
              <w:right w:w="53" w:type="dxa"/>
            </w:tcMar>
            <w:vAlign w:val="bottom"/>
          </w:tcPr>
          <w:p w14:paraId="5C41BD9C" w14:textId="77777777" w:rsidR="00D0338B" w:rsidRDefault="00DB7EA0">
            <w:pPr>
              <w:keepNext/>
              <w:spacing w:before="53" w:after="30"/>
              <w:jc w:val="center"/>
            </w:pPr>
            <w:r>
              <w:rPr>
                <w:rFonts w:ascii="Arial" w:eastAsia="Arial" w:hAnsi="Arial" w:cs="Arial"/>
                <w:color w:val="000000"/>
                <w:sz w:val="16"/>
              </w:rPr>
              <w:t xml:space="preserve"> Total</w:t>
            </w:r>
          </w:p>
        </w:tc>
      </w:tr>
      <w:tr w:rsidR="00D0338B" w14:paraId="4BB42F53"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56E2FE08" w14:textId="77777777" w:rsidR="00D0338B" w:rsidRDefault="00DB7EA0">
            <w:pPr>
              <w:keepNext/>
              <w:spacing w:before="53" w:after="30"/>
              <w:rPr>
                <w:rFonts w:ascii="Arial" w:eastAsia="Arial" w:hAnsi="Arial" w:cs="Arial"/>
                <w:b/>
                <w:sz w:val="16"/>
              </w:rPr>
            </w:pPr>
            <w:r>
              <w:rPr>
                <w:rFonts w:ascii="Arial" w:eastAsia="Arial" w:hAnsi="Arial" w:cs="Arial"/>
                <w:b/>
                <w:sz w:val="16"/>
              </w:rPr>
              <w:t xml:space="preserve">Reported Earnings </w:t>
            </w:r>
            <w:r>
              <w:rPr>
                <w:rFonts w:ascii="Arial" w:eastAsia="Arial" w:hAnsi="Arial" w:cs="Arial"/>
                <w:b/>
                <w:sz w:val="16"/>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D385C56" w14:textId="77777777" w:rsidR="00D0338B" w:rsidRDefault="00DB7EA0">
            <w:pPr>
              <w:keepNext/>
              <w:spacing w:before="33" w:after="30"/>
            </w:pPr>
            <w:r>
              <w:rPr>
                <w:rFonts w:ascii="Arial" w:eastAsia="Arial" w:hAnsi="Arial" w:cs="Arial"/>
                <w:color w:val="000000"/>
                <w:sz w:val="16"/>
              </w:rPr>
              <w:t>$</w:t>
            </w:r>
          </w:p>
        </w:tc>
        <w:tc>
          <w:tcPr>
            <w:tcW w:w="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3B2A81" w14:textId="77777777" w:rsidR="00D0338B" w:rsidRDefault="00DB7EA0">
            <w:pPr>
              <w:keepNext/>
              <w:spacing w:before="33" w:after="30"/>
              <w:jc w:val="right"/>
            </w:pPr>
            <w:r>
              <w:rPr>
                <w:rFonts w:ascii="Arial" w:eastAsia="Arial" w:hAnsi="Arial" w:cs="Arial"/>
                <w:color w:val="000000"/>
                <w:sz w:val="16"/>
              </w:rPr>
              <w:t>1.33 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6DA79D8"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812B48"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46664DD"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73847ED" w14:textId="77777777" w:rsidR="00D0338B" w:rsidRDefault="00DB7EA0">
            <w:pPr>
              <w:keepNext/>
              <w:spacing w:before="33" w:after="30"/>
              <w:jc w:val="right"/>
            </w:pPr>
            <w:r>
              <w:rPr>
                <w:rFonts w:ascii="Arial" w:eastAsia="Arial" w:hAnsi="Arial" w:cs="Arial"/>
                <w:color w:val="000000"/>
                <w:sz w:val="16"/>
              </w:rPr>
              <w:t>0.59 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2C408A"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B4C845"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B73EC9D"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9490BF1" w14:textId="77777777" w:rsidR="00D0338B" w:rsidRDefault="00DB7EA0">
            <w:pPr>
              <w:keepNext/>
              <w:spacing w:before="33" w:after="30"/>
              <w:jc w:val="right"/>
            </w:pPr>
            <w:r>
              <w:rPr>
                <w:rFonts w:ascii="Arial" w:eastAsia="Arial" w:hAnsi="Arial" w:cs="Arial"/>
                <w:color w:val="000000"/>
                <w:sz w:val="16"/>
              </w:rPr>
              <w:t>0.62 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25BEC47"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841D76"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66AFE26"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1A4E02E" w14:textId="77777777" w:rsidR="00D0338B" w:rsidRDefault="00DB7EA0">
            <w:pPr>
              <w:keepNext/>
              <w:spacing w:before="33" w:after="30"/>
              <w:jc w:val="right"/>
            </w:pPr>
            <w:r>
              <w:rPr>
                <w:rFonts w:ascii="Arial" w:eastAsia="Arial" w:hAnsi="Arial" w:cs="Arial"/>
                <w:color w:val="000000"/>
                <w:sz w:val="16"/>
              </w:rPr>
              <w:t>(0.17)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D391F87" w14:textId="77777777" w:rsidR="00D0338B" w:rsidRDefault="00D0338B">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7B3736" w14:textId="77777777" w:rsidR="00D0338B" w:rsidRDefault="00D0338B">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902032A" w14:textId="77777777" w:rsidR="00D0338B" w:rsidRDefault="00DB7EA0">
            <w:pPr>
              <w:keepNext/>
              <w:spacing w:before="33" w:after="30"/>
            </w:pPr>
            <w:r>
              <w:rPr>
                <w:rFonts w:ascii="Arial" w:eastAsia="Arial" w:hAnsi="Arial" w:cs="Arial"/>
                <w:color w:val="000000"/>
                <w:sz w:val="16"/>
              </w:rPr>
              <w:t>$</w:t>
            </w:r>
          </w:p>
        </w:tc>
        <w:tc>
          <w:tcPr>
            <w:tcW w:w="6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400EFE" w14:textId="77777777" w:rsidR="00D0338B" w:rsidRDefault="00DB7EA0">
            <w:pPr>
              <w:keepNext/>
              <w:spacing w:before="33" w:after="30"/>
              <w:jc w:val="right"/>
            </w:pPr>
            <w:r>
              <w:rPr>
                <w:rFonts w:ascii="Arial" w:eastAsia="Arial" w:hAnsi="Arial" w:cs="Arial"/>
                <w:color w:val="000000"/>
                <w:sz w:val="16"/>
              </w:rPr>
              <w:t>2.37 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D8BEA9D" w14:textId="77777777" w:rsidR="00D0338B" w:rsidRDefault="00D0338B">
            <w:pPr>
              <w:keepNext/>
              <w:spacing w:before="33" w:after="30"/>
              <w:jc w:val="right"/>
            </w:pPr>
          </w:p>
        </w:tc>
      </w:tr>
      <w:tr w:rsidR="00D0338B" w14:paraId="116C90A1"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5A885606" w14:textId="77777777" w:rsidR="00D0338B" w:rsidRDefault="00DB7EA0">
            <w:pPr>
              <w:keepNext/>
              <w:spacing w:before="53" w:after="30"/>
            </w:pPr>
            <w:r>
              <w:rPr>
                <w:rFonts w:ascii="Arial" w:eastAsia="Arial" w:hAnsi="Arial" w:cs="Arial"/>
                <w:color w:val="000000"/>
                <w:sz w:val="16"/>
              </w:rPr>
              <w:t>Less: Special Items (expense) benefit:</w:t>
            </w:r>
          </w:p>
        </w:tc>
        <w:tc>
          <w:tcPr>
            <w:tcW w:w="960" w:type="dxa"/>
            <w:gridSpan w:val="3"/>
            <w:tcBorders>
              <w:top w:val="nil"/>
              <w:left w:val="nil"/>
              <w:bottom w:val="nil"/>
              <w:right w:val="nil"/>
            </w:tcBorders>
            <w:shd w:val="clear" w:color="auto" w:fill="FFFFFF"/>
            <w:tcMar>
              <w:top w:w="0" w:type="dxa"/>
              <w:left w:w="0" w:type="dxa"/>
              <w:bottom w:w="0" w:type="dxa"/>
              <w:right w:w="0" w:type="dxa"/>
            </w:tcMar>
            <w:vAlign w:val="bottom"/>
          </w:tcPr>
          <w:p w14:paraId="3B58F9F9"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7A9E78"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7E1E59B3"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642EBF"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37624601"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246E80"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0B0120C" w14:textId="77777777" w:rsidR="00D0338B" w:rsidRDefault="00D0338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B11F44" w14:textId="77777777" w:rsidR="00D0338B" w:rsidRDefault="00D0338B">
            <w:pPr>
              <w:keepNext/>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bottom"/>
          </w:tcPr>
          <w:p w14:paraId="2F09436E" w14:textId="77777777" w:rsidR="00D0338B" w:rsidRDefault="00D0338B">
            <w:pPr>
              <w:keepNext/>
            </w:pPr>
          </w:p>
        </w:tc>
      </w:tr>
      <w:tr w:rsidR="00D0338B" w14:paraId="2FD059AE"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0CF536C6" w14:textId="77777777" w:rsidR="00D0338B" w:rsidRDefault="00DB7EA0">
            <w:pPr>
              <w:keepNext/>
              <w:spacing w:before="53" w:after="30"/>
            </w:pPr>
            <w:r>
              <w:rPr>
                <w:rFonts w:ascii="Arial" w:eastAsia="Arial" w:hAnsi="Arial" w:cs="Arial"/>
                <w:color w:val="000000"/>
                <w:sz w:val="16"/>
              </w:rPr>
              <w:t>Foreign currency economic hedges</w:t>
            </w:r>
          </w:p>
        </w:tc>
        <w:tc>
          <w:tcPr>
            <w:tcW w:w="860" w:type="dxa"/>
            <w:gridSpan w:val="2"/>
            <w:tcBorders>
              <w:top w:val="nil"/>
              <w:left w:val="nil"/>
              <w:bottom w:val="nil"/>
              <w:right w:val="nil"/>
            </w:tcBorders>
            <w:shd w:val="clear" w:color="auto" w:fill="CCEEFF"/>
            <w:tcMar>
              <w:top w:w="0" w:type="dxa"/>
              <w:left w:w="53" w:type="dxa"/>
              <w:bottom w:w="0" w:type="dxa"/>
              <w:right w:w="0" w:type="dxa"/>
            </w:tcMar>
            <w:vAlign w:val="bottom"/>
          </w:tcPr>
          <w:p w14:paraId="36430BF1" w14:textId="77777777" w:rsidR="00D0338B" w:rsidRDefault="00DB7EA0">
            <w:pPr>
              <w:keepNext/>
              <w:spacing w:before="53" w:after="30"/>
              <w:jc w:val="right"/>
            </w:pPr>
            <w:r>
              <w:rPr>
                <w:rFonts w:ascii="Arial" w:eastAsia="Arial" w:hAnsi="Arial" w:cs="Arial"/>
                <w:color w:val="000000"/>
                <w:sz w:val="16"/>
              </w:rPr>
              <w:t>(0.06)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2DF75D"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778A52"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80235F7"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7DD3E31"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A7A236"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306C53D"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C983E9"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D657D0"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FF39C0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B6A896"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6E8B17"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34DAA9ED" w14:textId="77777777" w:rsidR="00D0338B" w:rsidRDefault="00DB7EA0">
            <w:pPr>
              <w:keepNext/>
              <w:spacing w:before="53" w:after="30"/>
              <w:jc w:val="right"/>
            </w:pPr>
            <w:r>
              <w:rPr>
                <w:rFonts w:ascii="Arial" w:eastAsia="Arial" w:hAnsi="Arial" w:cs="Arial"/>
                <w:color w:val="000000"/>
                <w:sz w:val="16"/>
              </w:rPr>
              <w:t>(0.06)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B5C842" w14:textId="77777777" w:rsidR="00D0338B" w:rsidRDefault="00D0338B">
            <w:pPr>
              <w:keepNext/>
              <w:spacing w:before="53" w:after="30"/>
              <w:jc w:val="right"/>
            </w:pPr>
          </w:p>
        </w:tc>
      </w:tr>
      <w:tr w:rsidR="00D0338B" w14:paraId="200E1A95"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670D298C" w14:textId="77777777" w:rsidR="00D0338B" w:rsidRDefault="00DB7EA0">
            <w:pPr>
              <w:keepNext/>
              <w:spacing w:before="53" w:after="30"/>
            </w:pPr>
            <w:r>
              <w:rPr>
                <w:rFonts w:ascii="Arial" w:eastAsia="Arial" w:hAnsi="Arial" w:cs="Arial"/>
                <w:color w:val="000000"/>
                <w:sz w:val="16"/>
              </w:rPr>
              <w:t>Talen litigation costs</w:t>
            </w:r>
          </w:p>
        </w:tc>
        <w:tc>
          <w:tcPr>
            <w:tcW w:w="860" w:type="dxa"/>
            <w:gridSpan w:val="2"/>
            <w:tcBorders>
              <w:top w:val="nil"/>
              <w:left w:val="nil"/>
              <w:bottom w:val="nil"/>
              <w:right w:val="nil"/>
            </w:tcBorders>
            <w:shd w:val="clear" w:color="auto" w:fill="FFFFFF"/>
            <w:tcMar>
              <w:top w:w="0" w:type="dxa"/>
              <w:left w:w="53" w:type="dxa"/>
              <w:bottom w:w="0" w:type="dxa"/>
              <w:right w:w="0" w:type="dxa"/>
            </w:tcMar>
            <w:vAlign w:val="bottom"/>
          </w:tcPr>
          <w:p w14:paraId="7EFFC8A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C2BFD6"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463BB4"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06D1C65"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E7046B"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A13969"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D24685B"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C44499"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887DBE"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2B4CCBE6"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C370348" w14:textId="77777777" w:rsidR="00D0338B" w:rsidRDefault="00D0338B">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85BAFF" w14:textId="77777777" w:rsidR="00D0338B" w:rsidRDefault="00D0338B">
            <w:pPr>
              <w:keepNext/>
            </w:pPr>
          </w:p>
        </w:tc>
        <w:tc>
          <w:tcPr>
            <w:tcW w:w="845" w:type="dxa"/>
            <w:gridSpan w:val="2"/>
            <w:tcBorders>
              <w:top w:val="nil"/>
              <w:left w:val="nil"/>
              <w:bottom w:val="nil"/>
              <w:right w:val="nil"/>
            </w:tcBorders>
            <w:shd w:val="clear" w:color="auto" w:fill="FFFFFF"/>
            <w:tcMar>
              <w:top w:w="0" w:type="dxa"/>
              <w:left w:w="53" w:type="dxa"/>
              <w:bottom w:w="0" w:type="dxa"/>
              <w:right w:w="0" w:type="dxa"/>
            </w:tcMar>
            <w:vAlign w:val="bottom"/>
          </w:tcPr>
          <w:p w14:paraId="16639A50"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23A218" w14:textId="77777777" w:rsidR="00D0338B" w:rsidRDefault="00D0338B">
            <w:pPr>
              <w:keepNext/>
              <w:spacing w:before="53" w:after="30"/>
              <w:jc w:val="right"/>
            </w:pPr>
          </w:p>
        </w:tc>
      </w:tr>
      <w:tr w:rsidR="00D0338B" w14:paraId="697A9C3C"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581E91E1" w14:textId="77777777" w:rsidR="00D0338B" w:rsidRDefault="00DB7EA0">
            <w:pPr>
              <w:keepNext/>
              <w:spacing w:before="53" w:after="30"/>
            </w:pPr>
            <w:r>
              <w:rPr>
                <w:rFonts w:ascii="Arial" w:eastAsia="Arial" w:hAnsi="Arial" w:cs="Arial"/>
                <w:color w:val="000000"/>
                <w:sz w:val="16"/>
              </w:rPr>
              <w:t>Other</w:t>
            </w:r>
          </w:p>
        </w:tc>
        <w:tc>
          <w:tcPr>
            <w:tcW w:w="860" w:type="dxa"/>
            <w:gridSpan w:val="2"/>
            <w:tcBorders>
              <w:top w:val="nil"/>
              <w:left w:val="nil"/>
              <w:bottom w:val="nil"/>
              <w:right w:val="nil"/>
            </w:tcBorders>
            <w:shd w:val="clear" w:color="auto" w:fill="CCEEFF"/>
            <w:tcMar>
              <w:top w:w="0" w:type="dxa"/>
              <w:left w:w="53" w:type="dxa"/>
              <w:bottom w:w="0" w:type="dxa"/>
              <w:right w:w="0" w:type="dxa"/>
            </w:tcMar>
            <w:vAlign w:val="bottom"/>
          </w:tcPr>
          <w:p w14:paraId="27CF5715"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84C7B26"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1D3554"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409386CC"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A70B2F"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650A6E"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C4DD749"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148BD45"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91FCCA"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119B7EDE" w14:textId="77777777" w:rsidR="00D0338B" w:rsidRDefault="00DB7EA0">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55EC7F1" w14:textId="77777777" w:rsidR="00D0338B" w:rsidRDefault="00D0338B">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29325A" w14:textId="77777777" w:rsidR="00D0338B" w:rsidRDefault="00D0338B">
            <w:pPr>
              <w:keepNext/>
            </w:pPr>
          </w:p>
        </w:tc>
        <w:tc>
          <w:tcPr>
            <w:tcW w:w="845" w:type="dxa"/>
            <w:gridSpan w:val="2"/>
            <w:tcBorders>
              <w:top w:val="nil"/>
              <w:left w:val="nil"/>
              <w:bottom w:val="nil"/>
              <w:right w:val="nil"/>
            </w:tcBorders>
            <w:shd w:val="clear" w:color="auto" w:fill="CCEEFF"/>
            <w:tcMar>
              <w:top w:w="0" w:type="dxa"/>
              <w:left w:w="53" w:type="dxa"/>
              <w:bottom w:w="0" w:type="dxa"/>
              <w:right w:w="0" w:type="dxa"/>
            </w:tcMar>
            <w:vAlign w:val="bottom"/>
          </w:tcPr>
          <w:p w14:paraId="777DA3AC" w14:textId="77777777" w:rsidR="00D0338B" w:rsidRDefault="00DB7EA0">
            <w:pPr>
              <w:keepNext/>
              <w:spacing w:before="53" w:after="30"/>
              <w:jc w:val="right"/>
            </w:pPr>
            <w:r>
              <w:rPr>
                <w:rFonts w:ascii="Arial" w:eastAsia="Arial" w:hAnsi="Arial" w:cs="Arial"/>
                <w:color w:val="000000"/>
                <w:sz w:val="16"/>
              </w:rPr>
              <w:t>(0.01)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9FCFCCA" w14:textId="77777777" w:rsidR="00D0338B" w:rsidRDefault="00D0338B">
            <w:pPr>
              <w:keepNext/>
              <w:spacing w:before="53" w:after="30"/>
              <w:jc w:val="right"/>
            </w:pPr>
          </w:p>
        </w:tc>
      </w:tr>
      <w:tr w:rsidR="00D0338B" w14:paraId="6BB15DD0" w14:textId="77777777">
        <w:trPr>
          <w:cantSplit/>
          <w:trHeight w:hRule="exact" w:val="255"/>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14:paraId="1FC8953F" w14:textId="77777777" w:rsidR="00D0338B" w:rsidRDefault="00DB7EA0">
            <w:pPr>
              <w:keepNext/>
              <w:spacing w:before="53" w:after="30"/>
            </w:pPr>
            <w:r>
              <w:rPr>
                <w:rFonts w:ascii="Arial" w:eastAsia="Arial" w:hAnsi="Arial" w:cs="Arial"/>
                <w:b/>
                <w:color w:val="000000"/>
                <w:sz w:val="16"/>
              </w:rPr>
              <w:t xml:space="preserve">Total Special Items </w:t>
            </w:r>
          </w:p>
        </w:tc>
        <w:tc>
          <w:tcPr>
            <w:tcW w:w="86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D12577E" w14:textId="77777777" w:rsidR="00D0338B" w:rsidRDefault="00DB7EA0">
            <w:pPr>
              <w:keepNext/>
              <w:spacing w:before="33" w:after="30"/>
              <w:jc w:val="right"/>
            </w:pPr>
            <w:r>
              <w:rPr>
                <w:rFonts w:ascii="Arial" w:eastAsia="Arial" w:hAnsi="Arial" w:cs="Arial"/>
                <w:color w:val="000000"/>
                <w:sz w:val="16"/>
              </w:rPr>
              <w:t>(0.07)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3B37328"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55C56F"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3840F8F"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C55D1CA"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5E215A"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D3253E9" w14:textId="77777777" w:rsidR="00D0338B" w:rsidRDefault="00DB7EA0">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EC9DFCB"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9B59E5"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FD47670" w14:textId="77777777" w:rsidR="00D0338B" w:rsidRDefault="00DB7EA0">
            <w:pPr>
              <w:keepNext/>
              <w:spacing w:before="33" w:after="30"/>
              <w:jc w:val="right"/>
            </w:pPr>
            <w:r>
              <w:rPr>
                <w:rFonts w:ascii="Arial" w:eastAsia="Arial" w:hAnsi="Arial" w:cs="Arial"/>
                <w:color w:val="000000"/>
                <w:sz w:val="16"/>
              </w:rPr>
              <w:t>(0.01)</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4D09521" w14:textId="77777777" w:rsidR="00D0338B" w:rsidRDefault="00D0338B">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F60928" w14:textId="77777777" w:rsidR="00D0338B" w:rsidRDefault="00D0338B">
            <w:pPr>
              <w:keepNext/>
            </w:pPr>
          </w:p>
        </w:tc>
        <w:tc>
          <w:tcPr>
            <w:tcW w:w="8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9C9E1E0" w14:textId="77777777" w:rsidR="00D0338B" w:rsidRDefault="00DB7EA0">
            <w:pPr>
              <w:keepNext/>
              <w:spacing w:before="33" w:after="30"/>
              <w:jc w:val="right"/>
            </w:pPr>
            <w:r>
              <w:rPr>
                <w:rFonts w:ascii="Arial" w:eastAsia="Arial" w:hAnsi="Arial" w:cs="Arial"/>
                <w:color w:val="000000"/>
                <w:sz w:val="16"/>
              </w:rPr>
              <w:t>(0.08)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0EB3DDE" w14:textId="77777777" w:rsidR="00D0338B" w:rsidRDefault="00D0338B">
            <w:pPr>
              <w:keepNext/>
              <w:spacing w:before="33" w:after="30"/>
              <w:jc w:val="right"/>
            </w:pPr>
          </w:p>
        </w:tc>
      </w:tr>
      <w:tr w:rsidR="00D0338B" w14:paraId="359A0E1F" w14:textId="77777777">
        <w:trPr>
          <w:cantSplit/>
          <w:trHeight w:hRule="exact" w:val="255"/>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14:paraId="0E68F18C" w14:textId="77777777" w:rsidR="00D0338B" w:rsidRDefault="00DB7EA0">
            <w:pPr>
              <w:spacing w:before="53" w:after="30"/>
            </w:pPr>
            <w:r>
              <w:rPr>
                <w:rFonts w:ascii="Arial" w:eastAsia="Arial" w:hAnsi="Arial" w:cs="Arial"/>
                <w:b/>
                <w:color w:val="000000"/>
                <w:sz w:val="16"/>
              </w:rPr>
              <w:t>Earnings from Ongoing Operations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B073A6F" w14:textId="77777777" w:rsidR="00D0338B" w:rsidRDefault="00DB7EA0">
            <w:pPr>
              <w:spacing w:before="33" w:after="30"/>
            </w:pPr>
            <w:r>
              <w:rPr>
                <w:rFonts w:ascii="Arial" w:eastAsia="Arial" w:hAnsi="Arial" w:cs="Arial"/>
                <w:color w:val="000000"/>
                <w:sz w:val="16"/>
              </w:rPr>
              <w:t>$</w:t>
            </w:r>
          </w:p>
        </w:tc>
        <w:tc>
          <w:tcPr>
            <w:tcW w:w="7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F59A578" w14:textId="77777777" w:rsidR="00D0338B" w:rsidRDefault="00DB7EA0">
            <w:pPr>
              <w:spacing w:before="33" w:after="30"/>
              <w:jc w:val="right"/>
            </w:pPr>
            <w:r>
              <w:rPr>
                <w:rFonts w:ascii="Arial" w:eastAsia="Arial" w:hAnsi="Arial" w:cs="Arial"/>
                <w:color w:val="000000"/>
                <w:sz w:val="16"/>
              </w:rPr>
              <w:t>1.40 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2DAADB"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009196"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CDE156A"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EE848E5" w14:textId="77777777" w:rsidR="00D0338B" w:rsidRDefault="00DB7EA0">
            <w:pPr>
              <w:spacing w:before="33" w:after="30"/>
              <w:jc w:val="right"/>
            </w:pPr>
            <w:r>
              <w:rPr>
                <w:rFonts w:ascii="Arial" w:eastAsia="Arial" w:hAnsi="Arial" w:cs="Arial"/>
                <w:color w:val="000000"/>
                <w:sz w:val="16"/>
              </w:rPr>
              <w:t>0.59 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0413450"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80A09A"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19E0EFC"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7B1B602" w14:textId="77777777" w:rsidR="00D0338B" w:rsidRDefault="00DB7EA0">
            <w:pPr>
              <w:spacing w:before="33" w:after="30"/>
              <w:jc w:val="right"/>
            </w:pPr>
            <w:r>
              <w:rPr>
                <w:rFonts w:ascii="Arial" w:eastAsia="Arial" w:hAnsi="Arial" w:cs="Arial"/>
                <w:color w:val="000000"/>
                <w:sz w:val="16"/>
              </w:rPr>
              <w:t>0.62 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7A04A1D"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47F6C7"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2D30BA2"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5720971" w14:textId="77777777" w:rsidR="00D0338B" w:rsidRDefault="00DB7EA0">
            <w:pPr>
              <w:spacing w:before="33" w:after="30"/>
              <w:jc w:val="right"/>
            </w:pPr>
            <w:r>
              <w:rPr>
                <w:rFonts w:ascii="Arial" w:eastAsia="Arial" w:hAnsi="Arial" w:cs="Arial"/>
                <w:color w:val="000000"/>
                <w:sz w:val="16"/>
              </w:rPr>
              <w:t>(0.16)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2E0E162" w14:textId="77777777" w:rsidR="00D0338B" w:rsidRDefault="00D0338B">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334253" w14:textId="77777777" w:rsidR="00D0338B" w:rsidRDefault="00D0338B"/>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18415D7" w14:textId="77777777" w:rsidR="00D0338B" w:rsidRDefault="00DB7EA0">
            <w:pPr>
              <w:spacing w:before="33" w:after="30"/>
            </w:pPr>
            <w:r>
              <w:rPr>
                <w:rFonts w:ascii="Arial" w:eastAsia="Arial" w:hAnsi="Arial" w:cs="Arial"/>
                <w:color w:val="000000"/>
                <w:sz w:val="16"/>
              </w:rPr>
              <w:t>$</w:t>
            </w:r>
          </w:p>
        </w:tc>
        <w:tc>
          <w:tcPr>
            <w:tcW w:w="6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346889C" w14:textId="77777777" w:rsidR="00D0338B" w:rsidRDefault="00DB7EA0">
            <w:pPr>
              <w:spacing w:before="33" w:after="30"/>
              <w:jc w:val="right"/>
            </w:pPr>
            <w:r>
              <w:rPr>
                <w:rFonts w:ascii="Arial" w:eastAsia="Arial" w:hAnsi="Arial" w:cs="Arial"/>
                <w:color w:val="000000"/>
                <w:sz w:val="16"/>
              </w:rPr>
              <w:t>2.45 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3F3A8A9" w14:textId="77777777" w:rsidR="00D0338B" w:rsidRDefault="00D0338B">
            <w:pPr>
              <w:spacing w:before="33" w:after="30"/>
              <w:jc w:val="right"/>
            </w:pPr>
          </w:p>
        </w:tc>
      </w:tr>
    </w:tbl>
    <w:p w14:paraId="721C93F9" w14:textId="77777777" w:rsidR="00D0338B" w:rsidRDefault="00D0338B">
      <w:pPr>
        <w:spacing w:line="288" w:lineRule="auto"/>
        <w:ind w:left="360" w:hanging="360"/>
        <w:rPr>
          <w:rFonts w:ascii="Arial" w:eastAsia="Arial" w:hAnsi="Arial" w:cs="Arial"/>
          <w:sz w:val="16"/>
        </w:rPr>
      </w:pPr>
    </w:p>
    <w:p w14:paraId="4D65BA0E" w14:textId="77777777" w:rsidR="00D0338B" w:rsidRDefault="00DB7EA0">
      <w:pPr>
        <w:spacing w:line="288" w:lineRule="auto"/>
        <w:ind w:left="360" w:hanging="360"/>
        <w:rPr>
          <w:rFonts w:ascii="Arial" w:eastAsia="Arial" w:hAnsi="Arial" w:cs="Arial"/>
          <w:sz w:val="16"/>
        </w:rPr>
      </w:pPr>
      <w:r>
        <w:rPr>
          <w:rFonts w:ascii="Arial" w:eastAsia="Arial" w:hAnsi="Arial" w:cs="Arial"/>
          <w:sz w:val="16"/>
        </w:rPr>
        <w:t>(1)</w:t>
      </w:r>
      <w:r>
        <w:rPr>
          <w:sz w:val="20"/>
        </w:rPr>
        <w:t xml:space="preserve"> </w:t>
      </w:r>
      <w:r>
        <w:rPr>
          <w:rFonts w:ascii="Arial" w:eastAsia="Arial" w:hAnsi="Arial" w:cs="Arial"/>
          <w:sz w:val="16"/>
        </w:rPr>
        <w:t>Reported Earnings represents Net Income.</w:t>
      </w:r>
    </w:p>
    <w:sectPr w:rsidR="00D0338B">
      <w:pgSz w:w="12240" w:h="15840"/>
      <w:pgMar w:top="720" w:right="720" w:bottom="720" w:left="108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B276" w14:textId="77777777" w:rsidR="00977A6F" w:rsidRDefault="00977A6F">
      <w:r>
        <w:separator/>
      </w:r>
    </w:p>
  </w:endnote>
  <w:endnote w:type="continuationSeparator" w:id="0">
    <w:p w14:paraId="1E0CEAB0" w14:textId="77777777" w:rsidR="00977A6F" w:rsidRDefault="0097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9EF8" w14:textId="77777777" w:rsidR="004B5FD3" w:rsidRDefault="004B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8E66" w14:textId="11EF93BD" w:rsidR="00D0338B" w:rsidRDefault="00DB7EA0">
    <w:pPr>
      <w:spacing w:line="288" w:lineRule="auto"/>
      <w:rPr>
        <w:sz w:val="20"/>
      </w:rPr>
    </w:pPr>
    <w:r>
      <w:rPr>
        <w:noProof/>
        <w:sz w:val="20"/>
      </w:rPr>
      <mc:AlternateContent>
        <mc:Choice Requires="wps">
          <w:drawing>
            <wp:anchor distT="0" distB="0" distL="114300" distR="114300" simplePos="0" relativeHeight="251656704" behindDoc="0" locked="0" layoutInCell="0" allowOverlap="1" wp14:anchorId="0AB98E64" wp14:editId="4CF2994A">
              <wp:simplePos x="0" y="0"/>
              <wp:positionH relativeFrom="page">
                <wp:posOffset>0</wp:posOffset>
              </wp:positionH>
              <wp:positionV relativeFrom="page">
                <wp:posOffset>9594215</wp:posOffset>
              </wp:positionV>
              <wp:extent cx="7772400" cy="273685"/>
              <wp:effectExtent l="0" t="2540" r="0" b="0"/>
              <wp:wrapNone/>
              <wp:docPr id="4" name="MSIPCMfb6d440e9cb61636c0bfdd2a" descr="{&quot;HashCode&quot;:106892202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BD49" w14:textId="2272FCBA" w:rsidR="00DB7EA0" w:rsidRPr="00DB7EA0" w:rsidRDefault="00DB7EA0" w:rsidP="00DB7EA0">
                          <w:pPr>
                            <w:rPr>
                              <w:rFonts w:ascii="Calibri" w:hAnsi="Calibri" w:cs="Calibri"/>
                              <w:color w:val="000000"/>
                              <w:sz w:val="2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98E64" id="_x0000_t202" coordsize="21600,21600" o:spt="202" path="m,l,21600r21600,l21600,xe">
              <v:stroke joinstyle="miter"/>
              <v:path gradientshapeok="t" o:connecttype="rect"/>
            </v:shapetype>
            <v:shape id="MSIPCMfb6d440e9cb61636c0bfdd2a" o:spid="_x0000_s1026" type="#_x0000_t202" alt="{&quot;HashCode&quot;:1068922027,&quot;Height&quot;:792.0,&quot;Width&quot;:612.0,&quot;Placement&quot;:&quot;Footer&quot;,&quot;Index&quot;:&quot;Primary&quot;,&quot;Section&quot;:1,&quot;Top&quot;:0.0,&quot;Left&quot;:0.0}" style="position:absolute;margin-left:0;margin-top:755.45pt;width:612pt;height:2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" o:allowincell="f" filled="f" stroked="f">
              <v:textbox inset="20pt,0,,0">
                <w:txbxContent>
                  <w:p w14:paraId="1E3CBD49" w14:textId="2272FCBA" w:rsidR="00DB7EA0" w:rsidRPr="00DB7EA0" w:rsidRDefault="00DB7EA0" w:rsidP="00DB7EA0">
                    <w:pPr>
                      <w:rPr>
                        <w:rFonts w:ascii="Calibri" w:hAnsi="Calibri" w:cs="Calibri"/>
                        <w:color w:val="000000"/>
                        <w:sz w:val="2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B77C" w14:textId="77777777" w:rsidR="004B5FD3" w:rsidRDefault="004B5F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774D" w14:textId="0204D21B" w:rsidR="00D0338B" w:rsidRDefault="00DB7EA0">
    <w:pPr>
      <w:spacing w:line="288" w:lineRule="auto"/>
      <w:rPr>
        <w:sz w:val="20"/>
      </w:rPr>
    </w:pPr>
    <w:r>
      <w:rPr>
        <w:noProof/>
        <w:sz w:val="20"/>
      </w:rPr>
      <mc:AlternateContent>
        <mc:Choice Requires="wps">
          <w:drawing>
            <wp:anchor distT="0" distB="0" distL="114300" distR="114300" simplePos="0" relativeHeight="251658752" behindDoc="0" locked="0" layoutInCell="0" allowOverlap="1" wp14:anchorId="52AD3169" wp14:editId="779DF675">
              <wp:simplePos x="0" y="0"/>
              <wp:positionH relativeFrom="page">
                <wp:posOffset>0</wp:posOffset>
              </wp:positionH>
              <wp:positionV relativeFrom="page">
                <wp:posOffset>9594215</wp:posOffset>
              </wp:positionV>
              <wp:extent cx="7772400" cy="273685"/>
              <wp:effectExtent l="0" t="2540" r="0" b="0"/>
              <wp:wrapNone/>
              <wp:docPr id="3" name="MSIPCMe96b4b4ca93477c186da40d8" descr="{&quot;HashCode&quot;:1068922027,&quot;Height&quot;:792.0,&quot;Width&quot;:612.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09EC" w14:textId="30563FB7" w:rsidR="00DB7EA0" w:rsidRPr="00DB7EA0" w:rsidRDefault="00DB7EA0" w:rsidP="00DB7EA0">
                          <w:pPr>
                            <w:rPr>
                              <w:rFonts w:ascii="Calibri" w:hAnsi="Calibri" w:cs="Calibri"/>
                              <w:color w:val="000000"/>
                              <w:sz w:val="2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3169" id="_x0000_t202" coordsize="21600,21600" o:spt="202" path="m,l,21600r21600,l21600,xe">
              <v:stroke joinstyle="miter"/>
              <v:path gradientshapeok="t" o:connecttype="rect"/>
            </v:shapetype>
            <v:shape id="MSIPCMe96b4b4ca93477c186da40d8" o:spid="_x0000_s1027" type="#_x0000_t202" alt="{&quot;HashCode&quot;:1068922027,&quot;Height&quot;:792.0,&quot;Width&quot;:612.0,&quot;Placement&quot;:&quot;Footer&quot;,&quot;Index&quot;:&quot;Primary&quot;,&quot;Section&quot;:2,&quot;Top&quot;:0.0,&quot;Left&quot;:0.0}" style="position:absolute;margin-left:0;margin-top:755.45pt;width:612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" o:allowincell="f" filled="f" stroked="f">
              <v:textbox inset="20pt,0,,0">
                <w:txbxContent>
                  <w:p w14:paraId="095109EC" w14:textId="30563FB7" w:rsidR="00DB7EA0" w:rsidRPr="00DB7EA0" w:rsidRDefault="00DB7EA0" w:rsidP="00DB7EA0">
                    <w:pPr>
                      <w:rPr>
                        <w:rFonts w:ascii="Calibri" w:hAnsi="Calibri" w:cs="Calibri"/>
                        <w:color w:val="000000"/>
                        <w:sz w:val="2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2C47" w14:textId="18493A0E" w:rsidR="00D0338B" w:rsidRDefault="00DB7EA0">
    <w:pPr>
      <w:spacing w:line="288" w:lineRule="auto"/>
      <w:rPr>
        <w:sz w:val="20"/>
      </w:rPr>
    </w:pPr>
    <w:r>
      <w:rPr>
        <w:noProof/>
        <w:sz w:val="20"/>
      </w:rPr>
      <mc:AlternateContent>
        <mc:Choice Requires="wps">
          <w:drawing>
            <wp:anchor distT="0" distB="0" distL="114300" distR="114300" simplePos="0" relativeHeight="251660800" behindDoc="0" locked="0" layoutInCell="0" allowOverlap="1" wp14:anchorId="38980090" wp14:editId="3DBD0A84">
              <wp:simplePos x="0" y="0"/>
              <wp:positionH relativeFrom="page">
                <wp:posOffset>0</wp:posOffset>
              </wp:positionH>
              <wp:positionV relativeFrom="page">
                <wp:posOffset>9594215</wp:posOffset>
              </wp:positionV>
              <wp:extent cx="7772400" cy="273685"/>
              <wp:effectExtent l="0" t="2540" r="0" b="0"/>
              <wp:wrapNone/>
              <wp:docPr id="2" name="MSIPCMf4cd4daba0de2e81d94869d9" descr="{&quot;HashCode&quot;:1068922027,&quot;Height&quot;:792.0,&quot;Width&quot;:612.0,&quot;Placement&quot;:&quot;Footer&quot;,&quot;Index&quot;:&quot;Primary&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3930" w14:textId="77D728A4" w:rsidR="00DB7EA0" w:rsidRPr="00DB7EA0" w:rsidRDefault="00DB7EA0" w:rsidP="00DB7EA0">
                          <w:pPr>
                            <w:rPr>
                              <w:rFonts w:ascii="Calibri" w:hAnsi="Calibri" w:cs="Calibri"/>
                              <w:color w:val="000000"/>
                              <w:sz w:val="2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0090" id="_x0000_t202" coordsize="21600,21600" o:spt="202" path="m,l,21600r21600,l21600,xe">
              <v:stroke joinstyle="miter"/>
              <v:path gradientshapeok="t" o:connecttype="rect"/>
            </v:shapetype>
            <v:shape id="MSIPCMf4cd4daba0de2e81d94869d9" o:spid="_x0000_s1028" type="#_x0000_t202" alt="{&quot;HashCode&quot;:1068922027,&quot;Height&quot;:792.0,&quot;Width&quot;:612.0,&quot;Placement&quot;:&quot;Footer&quot;,&quot;Index&quot;:&quot;Primary&quot;,&quot;Section&quot;:5,&quot;Top&quot;:0.0,&quot;Left&quot;:0.0}" style="position:absolute;margin-left:0;margin-top:755.45pt;width:612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" o:allowincell="f" filled="f" stroked="f">
              <v:textbox inset="20pt,0,,0">
                <w:txbxContent>
                  <w:p w14:paraId="380D3930" w14:textId="77D728A4" w:rsidR="00DB7EA0" w:rsidRPr="00DB7EA0" w:rsidRDefault="00DB7EA0" w:rsidP="00DB7EA0">
                    <w:pPr>
                      <w:rPr>
                        <w:rFonts w:ascii="Calibri" w:hAnsi="Calibri" w:cs="Calibri"/>
                        <w:color w:val="000000"/>
                        <w:sz w:val="2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8B6F" w14:textId="1887EF3A" w:rsidR="00D0338B" w:rsidRDefault="00DB7EA0">
    <w:pPr>
      <w:spacing w:line="288" w:lineRule="auto"/>
      <w:rPr>
        <w:sz w:val="20"/>
      </w:rPr>
    </w:pPr>
    <w:r>
      <w:rPr>
        <w:noProof/>
        <w:sz w:val="20"/>
      </w:rPr>
      <mc:AlternateContent>
        <mc:Choice Requires="wps">
          <w:drawing>
            <wp:anchor distT="0" distB="0" distL="114300" distR="114300" simplePos="0" relativeHeight="251661824" behindDoc="0" locked="0" layoutInCell="0" allowOverlap="1" wp14:anchorId="13B50938" wp14:editId="7B481CDB">
              <wp:simplePos x="0" y="0"/>
              <wp:positionH relativeFrom="page">
                <wp:posOffset>0</wp:posOffset>
              </wp:positionH>
              <wp:positionV relativeFrom="page">
                <wp:posOffset>9594215</wp:posOffset>
              </wp:positionV>
              <wp:extent cx="7772400" cy="273685"/>
              <wp:effectExtent l="0" t="2540" r="0" b="0"/>
              <wp:wrapNone/>
              <wp:docPr id="1" name="MSIPCMd9a1486ab2d33d126a446abf" descr="{&quot;HashCode&quot;:1068922027,&quot;Height&quot;:792.0,&quot;Width&quot;:612.0,&quot;Placement&quot;:&quot;Footer&quot;,&quot;Index&quot;:&quot;Primary&quot;,&quot;Section&quot;: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5BC7" w14:textId="143F21A1" w:rsidR="00DB7EA0" w:rsidRPr="00DB7EA0" w:rsidRDefault="00DB7EA0" w:rsidP="00DB7EA0">
                          <w:pPr>
                            <w:rPr>
                              <w:rFonts w:ascii="Calibri" w:hAnsi="Calibri" w:cs="Calibri"/>
                              <w:color w:val="000000"/>
                              <w:sz w:val="2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50938" id="_x0000_t202" coordsize="21600,21600" o:spt="202" path="m,l,21600r21600,l21600,xe">
              <v:stroke joinstyle="miter"/>
              <v:path gradientshapeok="t" o:connecttype="rect"/>
            </v:shapetype>
            <v:shape id="MSIPCMd9a1486ab2d33d126a446abf" o:spid="_x0000_s1029" type="#_x0000_t202" alt="{&quot;HashCode&quot;:1068922027,&quot;Height&quot;:792.0,&quot;Width&quot;:612.0,&quot;Placement&quot;:&quot;Footer&quot;,&quot;Index&quot;:&quot;Primary&quot;,&quot;Section&quot;:6,&quot;Top&quot;:0.0,&quot;Left&quot;:0.0}" style="position:absolute;margin-left:0;margin-top:755.45pt;width:612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" o:allowincell="f" filled="f" stroked="f">
              <v:textbox inset="20pt,0,,0">
                <w:txbxContent>
                  <w:p w14:paraId="6A875BC7" w14:textId="143F21A1" w:rsidR="00DB7EA0" w:rsidRPr="00DB7EA0" w:rsidRDefault="00DB7EA0" w:rsidP="00DB7EA0">
                    <w:pPr>
                      <w:rPr>
                        <w:rFonts w:ascii="Calibri" w:hAnsi="Calibri" w:cs="Calibri"/>
                        <w:color w:val="000000"/>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BA73" w14:textId="77777777" w:rsidR="00977A6F" w:rsidRDefault="00977A6F">
      <w:r>
        <w:separator/>
      </w:r>
    </w:p>
  </w:footnote>
  <w:footnote w:type="continuationSeparator" w:id="0">
    <w:p w14:paraId="4D2E7DFC" w14:textId="77777777" w:rsidR="00977A6F" w:rsidRDefault="0097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C087" w14:textId="77777777" w:rsidR="004B5FD3" w:rsidRDefault="004B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DCF0" w14:textId="77777777" w:rsidR="00D0338B" w:rsidRDefault="00D0338B">
    <w:pPr>
      <w:spacing w:line="28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504B" w14:textId="77777777" w:rsidR="004B5FD3" w:rsidRDefault="004B5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E7D6" w14:textId="77777777" w:rsidR="00D0338B" w:rsidRDefault="00D0338B">
    <w:pPr>
      <w:spacing w:line="288"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A4EB" w14:textId="77777777" w:rsidR="00D0338B" w:rsidRDefault="00D0338B">
    <w:pPr>
      <w:spacing w:line="288"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2"/>
    <w:multiLevelType w:val="multilevel"/>
    <w:tmpl w:val="00000001"/>
    <w:lvl w:ilvl="0">
      <w:start w:val="1"/>
      <w:numFmt w:val="decimal"/>
      <w:lvlText w:val="•"/>
      <w:lvlJc w:val="left"/>
      <w:pPr>
        <w:tabs>
          <w:tab w:val="num" w:pos="108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4"/>
    <w:multiLevelType w:val="multilevel"/>
    <w:tmpl w:val="00000004"/>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4"/>
    <w:lvl w:ilvl="0">
      <w:start w:val="1"/>
      <w:numFmt w:val="decimal"/>
      <w:lvlText w:val="(%1)"/>
      <w:lvlJc w:val="left"/>
      <w:pPr>
        <w:tabs>
          <w:tab w:val="num" w:pos="45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4"/>
    <w:lvl w:ilvl="0">
      <w:start w:val="1"/>
      <w:numFmt w:val="decimal"/>
      <w:lvlText w:val="(%1)"/>
      <w:lvlJc w:val="left"/>
      <w:pPr>
        <w:tabs>
          <w:tab w:val="num" w:pos="45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4"/>
    <w:lvl w:ilvl="0">
      <w:start w:val="1"/>
      <w:numFmt w:val="decimal"/>
      <w:lvlText w:val="(%1)"/>
      <w:lvlJc w:val="left"/>
      <w:pPr>
        <w:tabs>
          <w:tab w:val="num" w:pos="36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4"/>
    <w:lvl w:ilvl="0">
      <w:start w:val="1"/>
      <w:numFmt w:val="decimal"/>
      <w:lvlText w:val="(%1)"/>
      <w:lvlJc w:val="left"/>
      <w:pPr>
        <w:tabs>
          <w:tab w:val="num" w:pos="36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4"/>
    <w:lvl w:ilvl="0">
      <w:start w:val="1"/>
      <w:numFmt w:val="decimal"/>
      <w:lvlText w:val="(%1)"/>
      <w:lvlJc w:val="left"/>
      <w:pPr>
        <w:tabs>
          <w:tab w:val="num" w:pos="36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252"/>
    <w:rsid w:val="0012190E"/>
    <w:rsid w:val="001819D9"/>
    <w:rsid w:val="001D5C17"/>
    <w:rsid w:val="00337FA2"/>
    <w:rsid w:val="004075E1"/>
    <w:rsid w:val="004B5FD3"/>
    <w:rsid w:val="00703392"/>
    <w:rsid w:val="007D3140"/>
    <w:rsid w:val="008636DF"/>
    <w:rsid w:val="008D3C82"/>
    <w:rsid w:val="00977A6F"/>
    <w:rsid w:val="009864DB"/>
    <w:rsid w:val="00A77B3E"/>
    <w:rsid w:val="00AC38E4"/>
    <w:rsid w:val="00CA2A55"/>
    <w:rsid w:val="00D0338B"/>
    <w:rsid w:val="00DA263E"/>
    <w:rsid w:val="00DB7EA0"/>
    <w:rsid w:val="00FB391B"/>
    <w:rsid w:val="00FE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33F8D"/>
  <w15:docId w15:val="{0351969F-16E4-4487-BF39-E3F3362A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numbering" w:customStyle="1" w:styleId="NumericNumberedNUMBERED">
    <w:name w:val="NumericNumberedNUMBERED"/>
    <w:pPr>
      <w:numPr>
        <w:numId w:val="4"/>
      </w:numPr>
    </w:pPr>
  </w:style>
  <w:style w:type="paragraph" w:styleId="Header">
    <w:name w:val="header"/>
    <w:basedOn w:val="Normal"/>
    <w:link w:val="HeaderChar"/>
    <w:unhideWhenUsed/>
    <w:rsid w:val="00DB7EA0"/>
    <w:pPr>
      <w:tabs>
        <w:tab w:val="center" w:pos="4680"/>
        <w:tab w:val="right" w:pos="9360"/>
      </w:tabs>
    </w:pPr>
  </w:style>
  <w:style w:type="character" w:customStyle="1" w:styleId="HeaderChar">
    <w:name w:val="Header Char"/>
    <w:basedOn w:val="DefaultParagraphFont"/>
    <w:link w:val="Header"/>
    <w:rsid w:val="00DB7EA0"/>
    <w:rPr>
      <w:sz w:val="24"/>
      <w:szCs w:val="24"/>
    </w:rPr>
  </w:style>
  <w:style w:type="paragraph" w:styleId="Footer">
    <w:name w:val="footer"/>
    <w:basedOn w:val="Normal"/>
    <w:link w:val="FooterChar"/>
    <w:unhideWhenUsed/>
    <w:rsid w:val="00DB7EA0"/>
    <w:pPr>
      <w:tabs>
        <w:tab w:val="center" w:pos="4680"/>
        <w:tab w:val="right" w:pos="9360"/>
      </w:tabs>
    </w:pPr>
  </w:style>
  <w:style w:type="character" w:customStyle="1" w:styleId="FooterChar">
    <w:name w:val="Footer Char"/>
    <w:basedOn w:val="DefaultParagraphFont"/>
    <w:link w:val="Footer"/>
    <w:rsid w:val="00DB7EA0"/>
    <w:rPr>
      <w:sz w:val="24"/>
      <w:szCs w:val="24"/>
    </w:rPr>
  </w:style>
  <w:style w:type="character" w:styleId="Hyperlink">
    <w:name w:val="Hyperlink"/>
    <w:basedOn w:val="DefaultParagraphFont"/>
    <w:unhideWhenUsed/>
    <w:rsid w:val="008D3C82"/>
    <w:rPr>
      <w:color w:val="0000FF" w:themeColor="hyperlink"/>
      <w:u w:val="single"/>
    </w:rPr>
  </w:style>
  <w:style w:type="character" w:styleId="UnresolvedMention">
    <w:name w:val="Unresolved Mention"/>
    <w:basedOn w:val="DefaultParagraphFont"/>
    <w:uiPriority w:val="99"/>
    <w:semiHidden/>
    <w:unhideWhenUsed/>
    <w:rsid w:val="008D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plcorp-my.sharepoint.com/personal/rwhill_pplweb_com/Documents/Documents/Financial/Q4%202020%20earnings/www.pplweb.com/investor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pplcorp-my.sharepoint.com/personal/rwhill_pplweb_com/Documents/Documents/Financial/Q4%202020%20earnings/www.pplweb.com/investors"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 - 12.31.2020 Exhibit 99.1</dc:title>
  <dc:creator>Anderson, Ryan James</dc:creator>
  <cp:lastModifiedBy>Burns, Dana N</cp:lastModifiedBy>
  <cp:revision>3</cp:revision>
  <cp:lastPrinted>2021-02-17T22:31:00Z</cp:lastPrinted>
  <dcterms:created xsi:type="dcterms:W3CDTF">2021-02-17T22:32:00Z</dcterms:created>
  <dcterms:modified xsi:type="dcterms:W3CDTF">2021-02-18T13:39:00Z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c6b311-06ac-4d45-8b7e-272c304377e9_Enabled">
    <vt:lpwstr>true</vt:lpwstr>
  </property>
  <property fmtid="{D5CDD505-2E9C-101B-9397-08002B2CF9AE}" pid="3" name="MSIP_Label_dcc6b311-06ac-4d45-8b7e-272c304377e9_SetDate">
    <vt:lpwstr>2021-02-18T13:39:29Z</vt:lpwstr>
  </property>
  <property fmtid="{D5CDD505-2E9C-101B-9397-08002B2CF9AE}" pid="4" name="MSIP_Label_dcc6b311-06ac-4d45-8b7e-272c304377e9_Method">
    <vt:lpwstr>Privileged</vt:lpwstr>
  </property>
  <property fmtid="{D5CDD505-2E9C-101B-9397-08002B2CF9AE}" pid="5" name="MSIP_Label_dcc6b311-06ac-4d45-8b7e-272c304377e9_Name">
    <vt:lpwstr>dcc6b311-06ac-4d45-8b7e-272c304377e9</vt:lpwstr>
  </property>
  <property fmtid="{D5CDD505-2E9C-101B-9397-08002B2CF9AE}" pid="6" name="MSIP_Label_dcc6b311-06ac-4d45-8b7e-272c304377e9_SiteId">
    <vt:lpwstr>25b79aa0-07c6-4d65-9c80-df92aacdc157</vt:lpwstr>
  </property>
  <property fmtid="{D5CDD505-2E9C-101B-9397-08002B2CF9AE}" pid="7" name="MSIP_Label_dcc6b311-06ac-4d45-8b7e-272c304377e9_ActionId">
    <vt:lpwstr>2ae8826a-e3b8-4c64-b9dd-0000c63324e1</vt:lpwstr>
  </property>
  <property fmtid="{D5CDD505-2E9C-101B-9397-08002B2CF9AE}" pid="8" name="MSIP_Label_dcc6b311-06ac-4d45-8b7e-272c304377e9_ContentBits">
    <vt:lpwstr>0</vt:lpwstr>
  </property>
</Properties>
</file>